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3C31C" w14:textId="010CFBEA" w:rsidR="00C50DD0" w:rsidRPr="00575896" w:rsidRDefault="00C50DD0" w:rsidP="00EB1583">
      <w:pPr>
        <w:jc w:val="center"/>
      </w:pPr>
      <w:r w:rsidRPr="00575896">
        <w:t xml:space="preserve">LA VEILLE SANITAIRE PORCINE SUR LE SYNDROME </w:t>
      </w:r>
      <w:r w:rsidR="00A20B5C" w:rsidRPr="00575896">
        <w:t xml:space="preserve">REPRODUCTEUR </w:t>
      </w:r>
      <w:r w:rsidRPr="00575896">
        <w:t>ET RESPIRATOIRE PORCIN</w:t>
      </w:r>
    </w:p>
    <w:p w14:paraId="6C50F18B" w14:textId="77777777" w:rsidR="00C50DD0" w:rsidRPr="00575896" w:rsidRDefault="00C50DD0" w:rsidP="00D635AC">
      <w:pPr>
        <w:ind w:left="360" w:hanging="360"/>
        <w:jc w:val="both"/>
        <w:rPr>
          <w:b/>
          <w:bCs/>
        </w:rPr>
      </w:pPr>
      <w:r w:rsidRPr="00575896">
        <w:rPr>
          <w:b/>
          <w:bCs/>
        </w:rPr>
        <w:t>SECTION 1</w:t>
      </w:r>
    </w:p>
    <w:p w14:paraId="784F62AB" w14:textId="2A593F5B" w:rsidR="00C50DD0" w:rsidRPr="00180BE2" w:rsidRDefault="00C50DD0" w:rsidP="000D0A36">
      <w:pPr>
        <w:pStyle w:val="Paragraphedeliste"/>
        <w:numPr>
          <w:ilvl w:val="0"/>
          <w:numId w:val="1"/>
        </w:numPr>
        <w:jc w:val="both"/>
        <w:rPr>
          <w:b/>
          <w:bCs/>
        </w:rPr>
      </w:pPr>
      <w:r w:rsidRPr="00575896">
        <w:rPr>
          <w:b/>
          <w:bCs/>
        </w:rPr>
        <w:t>Généralités</w:t>
      </w:r>
      <w:r w:rsidR="0056205A" w:rsidRPr="00575896">
        <w:rPr>
          <w:b/>
          <w:bCs/>
        </w:rPr>
        <w:t xml:space="preserve"> </w:t>
      </w:r>
      <w:r w:rsidR="0056205A" w:rsidRPr="00030A9F">
        <w:rPr>
          <w:b/>
          <w:bCs/>
        </w:rPr>
        <w:t>(pour plus d’informations</w:t>
      </w:r>
      <w:r w:rsidR="00AA539B" w:rsidRPr="00030A9F">
        <w:rPr>
          <w:b/>
          <w:bCs/>
        </w:rPr>
        <w:t xml:space="preserve">, </w:t>
      </w:r>
      <w:hyperlink r:id="rId12" w:history="1">
        <w:r w:rsidR="00AA539B" w:rsidRPr="00030A9F">
          <w:rPr>
            <w:rStyle w:val="Lienhypertexte"/>
            <w:b/>
            <w:bCs/>
          </w:rPr>
          <w:t>www.vsp.quebec</w:t>
        </w:r>
      </w:hyperlink>
      <w:r w:rsidR="00EA0774" w:rsidRPr="00180BE2">
        <w:rPr>
          <w:b/>
          <w:bCs/>
        </w:rPr>
        <w:t>)</w:t>
      </w:r>
    </w:p>
    <w:p w14:paraId="18894005" w14:textId="6A26E7F3" w:rsidR="00D92E87" w:rsidRPr="00575896" w:rsidRDefault="00C50DD0" w:rsidP="00D635AC">
      <w:pPr>
        <w:jc w:val="both"/>
      </w:pPr>
      <w:r w:rsidRPr="00575896">
        <w:t xml:space="preserve">La présente établit les modalités relatives </w:t>
      </w:r>
      <w:r w:rsidR="00800FBF" w:rsidRPr="00575896">
        <w:t>au fonctionne</w:t>
      </w:r>
      <w:r w:rsidR="00921054" w:rsidRPr="00575896">
        <w:t xml:space="preserve">ment de </w:t>
      </w:r>
      <w:r w:rsidRPr="00575896">
        <w:t>la Veille sanitaire porcine</w:t>
      </w:r>
      <w:r w:rsidR="00610E6B" w:rsidRPr="00575896">
        <w:t xml:space="preserve"> (VSP)</w:t>
      </w:r>
      <w:r w:rsidRPr="00575896">
        <w:t xml:space="preserve"> sur le syndrome </w:t>
      </w:r>
      <w:r w:rsidR="00A20B5C" w:rsidRPr="00575896">
        <w:t>reproducteur</w:t>
      </w:r>
      <w:r w:rsidRPr="00575896">
        <w:t xml:space="preserve"> et </w:t>
      </w:r>
      <w:r w:rsidR="00A20B5C" w:rsidRPr="00575896">
        <w:t>respiratoire</w:t>
      </w:r>
      <w:r w:rsidRPr="00575896">
        <w:t xml:space="preserve"> porcin</w:t>
      </w:r>
      <w:r w:rsidR="00610E6B" w:rsidRPr="00575896">
        <w:t xml:space="preserve"> (SRRP)</w:t>
      </w:r>
      <w:r w:rsidR="008E3271" w:rsidRPr="00575896">
        <w:t>, maladie virale qui cause de</w:t>
      </w:r>
      <w:r w:rsidR="00DF2362" w:rsidRPr="00575896">
        <w:t>s</w:t>
      </w:r>
      <w:r w:rsidR="008E3271" w:rsidRPr="00575896">
        <w:t xml:space="preserve"> pertes </w:t>
      </w:r>
      <w:r w:rsidR="00920720" w:rsidRPr="00575896">
        <w:t>de l’ordre de 35 millions de dollars par année</w:t>
      </w:r>
      <w:r w:rsidR="00944E8D" w:rsidRPr="00575896">
        <w:t xml:space="preserve"> aux </w:t>
      </w:r>
      <w:r w:rsidR="00DF2362" w:rsidRPr="00575896">
        <w:t>producteurs</w:t>
      </w:r>
      <w:r w:rsidR="00B13BEA" w:rsidRPr="00575896">
        <w:t xml:space="preserve"> de porcs du Québec</w:t>
      </w:r>
      <w:r w:rsidR="0009154E" w:rsidRPr="00575896">
        <w:t>.</w:t>
      </w:r>
    </w:p>
    <w:p w14:paraId="6469CA12" w14:textId="56978137" w:rsidR="00C50DD0" w:rsidRPr="00180BE2" w:rsidRDefault="00C50DD0" w:rsidP="00D635AC">
      <w:pPr>
        <w:jc w:val="both"/>
      </w:pPr>
      <w:r w:rsidRPr="00575896">
        <w:t>La veille sanitaire provinciale (VSP) est une mesure mise en place visant à faciliter la collecte, la compilation et l’analyse systématique des données d’identification et sanitaires des sites de production porcine et permettre une diffusion rapide de l’information aux personnes impliquées dans les démarches de contrôle du syndrome reproducteur et respiratoire porcin (SRRP).</w:t>
      </w:r>
    </w:p>
    <w:p w14:paraId="4979EE9A" w14:textId="77777777" w:rsidR="00B068B3" w:rsidRPr="00575896" w:rsidRDefault="00B068B3" w:rsidP="00D635AC">
      <w:pPr>
        <w:jc w:val="both"/>
      </w:pPr>
      <w:r w:rsidRPr="00575896">
        <w:t xml:space="preserve">La VSP </w:t>
      </w:r>
      <w:r w:rsidR="002821D1" w:rsidRPr="00575896">
        <w:t>se décline en deux volets distincts :</w:t>
      </w:r>
    </w:p>
    <w:p w14:paraId="65C37085" w14:textId="77777777" w:rsidR="002821D1" w:rsidRPr="00575896" w:rsidRDefault="002821D1" w:rsidP="00D635AC">
      <w:pPr>
        <w:pStyle w:val="Paragraphedeliste"/>
        <w:numPr>
          <w:ilvl w:val="0"/>
          <w:numId w:val="3"/>
        </w:numPr>
        <w:jc w:val="both"/>
      </w:pPr>
      <w:r w:rsidRPr="00575896">
        <w:t>Les données d’identification (« Identification »).</w:t>
      </w:r>
    </w:p>
    <w:p w14:paraId="41974A53" w14:textId="223E45C1" w:rsidR="00206767" w:rsidRPr="00575896" w:rsidRDefault="002821D1" w:rsidP="00206767">
      <w:pPr>
        <w:pStyle w:val="Paragraphedeliste"/>
        <w:numPr>
          <w:ilvl w:val="0"/>
          <w:numId w:val="3"/>
        </w:numPr>
        <w:jc w:val="both"/>
      </w:pPr>
      <w:r w:rsidRPr="00575896">
        <w:t>Les données sanitaires (« </w:t>
      </w:r>
      <w:r w:rsidR="00D635AC" w:rsidRPr="00575896">
        <w:t>Sanitaire</w:t>
      </w:r>
      <w:r w:rsidRPr="00575896">
        <w:t> »)</w:t>
      </w:r>
      <w:r w:rsidR="008D23C8" w:rsidRPr="00575896">
        <w:t> : statu</w:t>
      </w:r>
      <w:r w:rsidR="00C80A3C" w:rsidRPr="00575896">
        <w:t>t</w:t>
      </w:r>
      <w:r w:rsidR="008D23C8" w:rsidRPr="00575896">
        <w:t xml:space="preserve"> sanitair</w:t>
      </w:r>
      <w:r w:rsidR="00C80A3C" w:rsidRPr="00575896">
        <w:t>e.</w:t>
      </w:r>
    </w:p>
    <w:p w14:paraId="6D8A9F7D" w14:textId="060F276D" w:rsidR="004B7927" w:rsidRPr="00575896" w:rsidRDefault="004B7927" w:rsidP="00092AA6">
      <w:pPr>
        <w:jc w:val="both"/>
      </w:pPr>
      <w:r w:rsidRPr="00575896">
        <w:t>L’</w:t>
      </w:r>
      <w:r w:rsidR="002D0550" w:rsidRPr="00575896">
        <w:t>a</w:t>
      </w:r>
      <w:r w:rsidRPr="00575896">
        <w:t xml:space="preserve">nnexe 1 présente de </w:t>
      </w:r>
      <w:r w:rsidR="001B2573" w:rsidRPr="00575896">
        <w:t>façon détaillée</w:t>
      </w:r>
      <w:r w:rsidRPr="00575896">
        <w:t xml:space="preserve"> </w:t>
      </w:r>
      <w:r w:rsidR="00AF7D4A" w:rsidRPr="00575896">
        <w:t>comment les do</w:t>
      </w:r>
      <w:r w:rsidR="00126A62" w:rsidRPr="00575896">
        <w:t>nnées sont partagées dans le cadre de la VSP.</w:t>
      </w:r>
    </w:p>
    <w:p w14:paraId="544B78FF" w14:textId="77777777" w:rsidR="00B10B4E" w:rsidRPr="00575896" w:rsidRDefault="00B10B4E" w:rsidP="00D635AC">
      <w:pPr>
        <w:pStyle w:val="Paragraphedeliste"/>
        <w:numPr>
          <w:ilvl w:val="0"/>
          <w:numId w:val="1"/>
        </w:numPr>
        <w:jc w:val="both"/>
        <w:rPr>
          <w:b/>
          <w:bCs/>
        </w:rPr>
      </w:pPr>
      <w:r w:rsidRPr="00575896">
        <w:rPr>
          <w:b/>
          <w:bCs/>
        </w:rPr>
        <w:t>Intervenants</w:t>
      </w:r>
    </w:p>
    <w:p w14:paraId="6E6DA986" w14:textId="06F6827B" w:rsidR="00B10B4E" w:rsidRPr="00575896" w:rsidRDefault="00B10B4E" w:rsidP="00D635AC">
      <w:pPr>
        <w:jc w:val="both"/>
      </w:pPr>
      <w:r w:rsidRPr="00575896">
        <w:t xml:space="preserve">La gouvernance de la VSP est </w:t>
      </w:r>
      <w:r w:rsidR="00895809" w:rsidRPr="00575896">
        <w:t>effectuée par l’Équipe québécoise de santé porcine (EQSP)</w:t>
      </w:r>
      <w:r w:rsidR="00FF0515" w:rsidRPr="00575896">
        <w:t>, une personne morale à but non</w:t>
      </w:r>
      <w:r w:rsidR="00895809" w:rsidRPr="00575896">
        <w:t xml:space="preserve"> </w:t>
      </w:r>
      <w:r w:rsidR="00FF0515" w:rsidRPr="00575896">
        <w:t>lucratif</w:t>
      </w:r>
      <w:r w:rsidR="005F2AA2" w:rsidRPr="00575896">
        <w:t>,</w:t>
      </w:r>
      <w:r w:rsidR="00FF0515" w:rsidRPr="00575896">
        <w:t xml:space="preserve"> constitué </w:t>
      </w:r>
      <w:r w:rsidR="00BB3E38" w:rsidRPr="00575896">
        <w:t>selon les</w:t>
      </w:r>
      <w:r w:rsidR="00FF0515" w:rsidRPr="00575896">
        <w:t xml:space="preserve"> termes de la </w:t>
      </w:r>
      <w:r w:rsidR="00FF0515" w:rsidRPr="00575896">
        <w:rPr>
          <w:i/>
          <w:iCs/>
        </w:rPr>
        <w:t>Loi sur les compagnies</w:t>
      </w:r>
      <w:r w:rsidR="00FF0515" w:rsidRPr="00575896">
        <w:t xml:space="preserve"> (Partie 3), </w:t>
      </w:r>
      <w:r w:rsidR="00895809" w:rsidRPr="00575896">
        <w:t>qui détermine les informations nécessaires à son exécution et la manière dont celles-ci peuvent être utilisées à cette fin.</w:t>
      </w:r>
    </w:p>
    <w:p w14:paraId="2CD3DB1B" w14:textId="40E62051" w:rsidR="00BC7C81" w:rsidRPr="00575896" w:rsidRDefault="00BC7C81" w:rsidP="009B05B6">
      <w:pPr>
        <w:spacing w:after="0" w:line="257" w:lineRule="auto"/>
        <w:jc w:val="both"/>
      </w:pPr>
      <w:r w:rsidRPr="00575896">
        <w:t>L’EQSP est issue d’un partenariat entre l’Association québécoise des industries de nutrition animale et céréalière (AQINAC), les Éleveurs de porcs du Québec et les abattoirs signataires de la Convention de mise en marché des porcs du Québec. Sa mission est de « travailler, de concert avec les autorités gouvernementales et les intervenants de l’industrie porcine à la prévention, la planification et l’intervention contre des maladies porcines ciblées afin d’en minimiser les impacts potentiels sur l’ensemble de la filière québécoise</w:t>
      </w:r>
      <w:r w:rsidR="002679E9">
        <w:t> </w:t>
      </w:r>
      <w:r w:rsidRPr="00575896">
        <w:t>».</w:t>
      </w:r>
    </w:p>
    <w:p w14:paraId="000D6030" w14:textId="2B3AF47A" w:rsidR="00895809" w:rsidRPr="00575896" w:rsidRDefault="00610E6B" w:rsidP="00D635AC">
      <w:pPr>
        <w:jc w:val="both"/>
      </w:pPr>
      <w:r w:rsidRPr="00575896">
        <w:t>La VSP est exécutée en partenariat par les Éleveurs de porcs du Québec (EPQ), le Centre de développement du porc du Québec Inc. (CDPQ)</w:t>
      </w:r>
      <w:r w:rsidR="00FF0515" w:rsidRPr="00575896">
        <w:t xml:space="preserve">, une personne morale à but non lucratif constitué </w:t>
      </w:r>
      <w:r w:rsidR="00CF11FC" w:rsidRPr="00575896">
        <w:t xml:space="preserve">selon les </w:t>
      </w:r>
      <w:r w:rsidR="00FF0515" w:rsidRPr="00575896">
        <w:t xml:space="preserve">termes de la </w:t>
      </w:r>
      <w:r w:rsidR="00FF0515" w:rsidRPr="00575896">
        <w:rPr>
          <w:i/>
          <w:iCs/>
        </w:rPr>
        <w:t>Loi sur les compagnies</w:t>
      </w:r>
      <w:r w:rsidR="00FF0515" w:rsidRPr="00575896">
        <w:t xml:space="preserve"> (Partie 3),</w:t>
      </w:r>
      <w:r w:rsidRPr="00575896">
        <w:t xml:space="preserve"> et le Laboratoire d’épidémiologie et de médecine porcine (LEMP) de la Faculté de médecine vétérinaire de l’Université de Montréal :</w:t>
      </w:r>
    </w:p>
    <w:p w14:paraId="1C2FB122" w14:textId="533061FB" w:rsidR="00610E6B" w:rsidRPr="00575896" w:rsidRDefault="00610E6B" w:rsidP="00D635AC">
      <w:pPr>
        <w:pStyle w:val="Paragraphedeliste"/>
        <w:numPr>
          <w:ilvl w:val="0"/>
          <w:numId w:val="3"/>
        </w:numPr>
        <w:jc w:val="both"/>
      </w:pPr>
      <w:r w:rsidRPr="00575896">
        <w:t>Les EPQ ont la responsabilité de maintenir à jour les données d’identification des p</w:t>
      </w:r>
      <w:r w:rsidR="004F24C8" w:rsidRPr="00575896">
        <w:t>roducteurs</w:t>
      </w:r>
      <w:r w:rsidRPr="00575896">
        <w:t xml:space="preserve"> en fonction des informations reçues de ces derniers.</w:t>
      </w:r>
    </w:p>
    <w:p w14:paraId="6CAB38D2" w14:textId="77777777" w:rsidR="00610E6B" w:rsidRPr="00575896" w:rsidRDefault="00610E6B" w:rsidP="00D635AC">
      <w:pPr>
        <w:pStyle w:val="Paragraphedeliste"/>
        <w:ind w:left="1068"/>
        <w:jc w:val="both"/>
      </w:pPr>
    </w:p>
    <w:p w14:paraId="7FAFC519" w14:textId="77777777" w:rsidR="00610E6B" w:rsidRPr="00575896" w:rsidRDefault="00610E6B" w:rsidP="00D635AC">
      <w:pPr>
        <w:pStyle w:val="Paragraphedeliste"/>
        <w:numPr>
          <w:ilvl w:val="0"/>
          <w:numId w:val="3"/>
        </w:numPr>
        <w:jc w:val="both"/>
      </w:pPr>
      <w:r w:rsidRPr="00575896">
        <w:t>Le CDPQ a la responsabilité de récupérer et de gérer les données des différentes sources et de produire l’information nécessaire pour la VSP.</w:t>
      </w:r>
    </w:p>
    <w:p w14:paraId="1529572E" w14:textId="77777777" w:rsidR="00610E6B" w:rsidRPr="00575896" w:rsidRDefault="00610E6B" w:rsidP="00D635AC">
      <w:pPr>
        <w:pStyle w:val="Paragraphedeliste"/>
        <w:jc w:val="both"/>
      </w:pPr>
    </w:p>
    <w:p w14:paraId="6E02465E" w14:textId="5A156D1B" w:rsidR="00610E6B" w:rsidRPr="00575896" w:rsidRDefault="00610E6B" w:rsidP="00D635AC">
      <w:pPr>
        <w:pStyle w:val="Paragraphedeliste"/>
        <w:numPr>
          <w:ilvl w:val="0"/>
          <w:numId w:val="3"/>
        </w:numPr>
        <w:jc w:val="both"/>
      </w:pPr>
      <w:r w:rsidRPr="00575896">
        <w:lastRenderedPageBreak/>
        <w:t xml:space="preserve">Le LEMP réalise au besoin la recherche sur le contrôle du SRRP et procède à des analyses et des comparaisons des séquences du virus ainsi qu'au développement d'outils </w:t>
      </w:r>
      <w:r w:rsidR="00D40258" w:rsidRPr="002679E9">
        <w:t>de surveillance</w:t>
      </w:r>
      <w:r w:rsidR="00D40258" w:rsidRPr="00575896">
        <w:t xml:space="preserve"> et </w:t>
      </w:r>
      <w:r w:rsidRPr="00575896">
        <w:t>de comparaison des séquences</w:t>
      </w:r>
      <w:r w:rsidR="00C8125E" w:rsidRPr="00575896">
        <w:t>.</w:t>
      </w:r>
    </w:p>
    <w:p w14:paraId="68526900" w14:textId="77777777" w:rsidR="00610E6B" w:rsidRPr="00575896" w:rsidRDefault="00610E6B" w:rsidP="00D635AC">
      <w:pPr>
        <w:pStyle w:val="Paragraphedeliste"/>
        <w:jc w:val="both"/>
      </w:pPr>
    </w:p>
    <w:p w14:paraId="09D1E6D4" w14:textId="6B7B05BE" w:rsidR="005A3C46" w:rsidRPr="00575896" w:rsidRDefault="00567BAE" w:rsidP="005A3C46">
      <w:pPr>
        <w:pStyle w:val="Paragraphedeliste"/>
        <w:numPr>
          <w:ilvl w:val="0"/>
          <w:numId w:val="1"/>
        </w:numPr>
        <w:jc w:val="both"/>
        <w:rPr>
          <w:b/>
          <w:bCs/>
        </w:rPr>
      </w:pPr>
      <w:r w:rsidRPr="00575896">
        <w:rPr>
          <w:b/>
          <w:bCs/>
        </w:rPr>
        <w:t>P</w:t>
      </w:r>
      <w:r w:rsidR="00610E6B" w:rsidRPr="00575896">
        <w:rPr>
          <w:b/>
          <w:bCs/>
        </w:rPr>
        <w:t>artenaires</w:t>
      </w:r>
    </w:p>
    <w:p w14:paraId="3E47054F" w14:textId="1CF9BB98" w:rsidR="00793561" w:rsidRPr="00575896" w:rsidRDefault="00610E6B" w:rsidP="005A3C46">
      <w:pPr>
        <w:jc w:val="both"/>
      </w:pPr>
      <w:r w:rsidRPr="00575896">
        <w:t>Les vétérinaires agissant pour les producteurs de porcs</w:t>
      </w:r>
      <w:r w:rsidR="00DB0E36" w:rsidRPr="00575896">
        <w:t xml:space="preserve"> </w:t>
      </w:r>
      <w:r w:rsidRPr="00575896">
        <w:t>et les groupes de contrôle</w:t>
      </w:r>
      <w:r w:rsidR="00E11170" w:rsidRPr="00575896">
        <w:t xml:space="preserve"> (GDC)</w:t>
      </w:r>
      <w:r w:rsidRPr="00575896">
        <w:t xml:space="preserve"> collaborent avec les intervenants aux fins de l’exécution de la VSP.</w:t>
      </w:r>
      <w:r w:rsidR="00E11170" w:rsidRPr="00575896">
        <w:t xml:space="preserve"> </w:t>
      </w:r>
    </w:p>
    <w:p w14:paraId="242D4D5B" w14:textId="55EF41F5" w:rsidR="00D55828" w:rsidRPr="00575896" w:rsidRDefault="00E11170" w:rsidP="001F0410">
      <w:pPr>
        <w:jc w:val="both"/>
      </w:pPr>
      <w:r w:rsidRPr="0023567E">
        <w:t xml:space="preserve">Les </w:t>
      </w:r>
      <w:r w:rsidR="001A249E" w:rsidRPr="0023567E">
        <w:t>GDC sont des</w:t>
      </w:r>
      <w:r w:rsidR="00FE640E" w:rsidRPr="0023567E">
        <w:t xml:space="preserve"> organisations régionales</w:t>
      </w:r>
      <w:r w:rsidR="00117C16" w:rsidRPr="0023567E">
        <w:t xml:space="preserve"> </w:t>
      </w:r>
      <w:r w:rsidR="0074427E">
        <w:t>responsables</w:t>
      </w:r>
      <w:r w:rsidR="00FE640E" w:rsidRPr="0023567E">
        <w:t xml:space="preserve"> de définir et mettre en place des stratégies de contrôle du SRRP</w:t>
      </w:r>
      <w:r w:rsidR="00050D8C" w:rsidRPr="0023567E">
        <w:t xml:space="preserve"> afin d’en réduire l’impact </w:t>
      </w:r>
      <w:r w:rsidR="00D50A3A" w:rsidRPr="0023567E">
        <w:t>pour leurs membres (</w:t>
      </w:r>
      <w:r w:rsidR="00E01DEF" w:rsidRPr="0023567E">
        <w:t>des producteurs</w:t>
      </w:r>
      <w:r w:rsidR="00E22E4A" w:rsidRPr="0023567E">
        <w:t xml:space="preserve"> de porcs</w:t>
      </w:r>
      <w:r w:rsidR="00E01DEF" w:rsidRPr="0023567E">
        <w:t>)</w:t>
      </w:r>
      <w:r w:rsidR="00950619" w:rsidRPr="0023567E">
        <w:t xml:space="preserve">. </w:t>
      </w:r>
      <w:r w:rsidR="00117C16" w:rsidRPr="0023567E">
        <w:t xml:space="preserve">Il y a </w:t>
      </w:r>
      <w:r w:rsidR="0002539C" w:rsidRPr="0023567E">
        <w:t>dix</w:t>
      </w:r>
      <w:r w:rsidR="00117C16" w:rsidRPr="0023567E">
        <w:t xml:space="preserve"> GDC au Q</w:t>
      </w:r>
      <w:r w:rsidR="005A3C46" w:rsidRPr="0023567E">
        <w:t>uébe</w:t>
      </w:r>
      <w:r w:rsidR="00117C16" w:rsidRPr="0023567E">
        <w:t>c qui couvrent la majeur</w:t>
      </w:r>
      <w:r w:rsidR="005A3C46" w:rsidRPr="0023567E">
        <w:t>e</w:t>
      </w:r>
      <w:r w:rsidR="00117C16" w:rsidRPr="0023567E">
        <w:t xml:space="preserve"> partie du territoire</w:t>
      </w:r>
      <w:r w:rsidR="00D714D8" w:rsidRPr="0023567E">
        <w:t>.</w:t>
      </w:r>
    </w:p>
    <w:p w14:paraId="4E1C9B21" w14:textId="4B1C9FDA" w:rsidR="00610E6B" w:rsidRPr="00575896" w:rsidRDefault="00610E6B" w:rsidP="00D635AC">
      <w:pPr>
        <w:pStyle w:val="Paragraphedeliste"/>
        <w:numPr>
          <w:ilvl w:val="0"/>
          <w:numId w:val="1"/>
        </w:numPr>
        <w:jc w:val="both"/>
        <w:rPr>
          <w:b/>
          <w:bCs/>
        </w:rPr>
      </w:pPr>
      <w:r w:rsidRPr="00575896">
        <w:rPr>
          <w:b/>
          <w:bCs/>
        </w:rPr>
        <w:t>P</w:t>
      </w:r>
      <w:r w:rsidR="00FF0515" w:rsidRPr="00575896">
        <w:rPr>
          <w:b/>
          <w:bCs/>
        </w:rPr>
        <w:t>roducteur</w:t>
      </w:r>
    </w:p>
    <w:p w14:paraId="3A7820F9" w14:textId="24619F0A" w:rsidR="002821D1" w:rsidRPr="00575896" w:rsidRDefault="00610E6B" w:rsidP="00D635AC">
      <w:pPr>
        <w:jc w:val="both"/>
      </w:pPr>
      <w:r w:rsidRPr="00575896">
        <w:t>Tout producteur visé par le Plan conjoint des producteurs de porcs du Québec</w:t>
      </w:r>
      <w:r w:rsidR="00FF0515" w:rsidRPr="00575896">
        <w:t xml:space="preserve"> </w:t>
      </w:r>
      <w:r w:rsidR="002821D1" w:rsidRPr="00575896">
        <w:t>participe</w:t>
      </w:r>
      <w:r w:rsidR="00FF0515" w:rsidRPr="00575896">
        <w:t xml:space="preserve"> et est enregistré</w:t>
      </w:r>
      <w:r w:rsidR="002821D1" w:rsidRPr="00575896">
        <w:t xml:space="preserve"> au volet Identification de la VSP</w:t>
      </w:r>
      <w:r w:rsidRPr="00575896">
        <w:t>.</w:t>
      </w:r>
    </w:p>
    <w:p w14:paraId="2D95BE16" w14:textId="6208BA11" w:rsidR="00B67F7D" w:rsidRPr="00575896" w:rsidRDefault="002821D1" w:rsidP="00D635AC">
      <w:pPr>
        <w:jc w:val="both"/>
      </w:pPr>
      <w:r w:rsidRPr="00575896">
        <w:t>Seul</w:t>
      </w:r>
      <w:r w:rsidR="00BC2910" w:rsidRPr="00575896">
        <w:t>s</w:t>
      </w:r>
      <w:r w:rsidRPr="00575896">
        <w:t xml:space="preserve"> les producteurs qui </w:t>
      </w:r>
      <w:r w:rsidR="0070095A" w:rsidRPr="00575896">
        <w:t>transfèrent le statut de leur</w:t>
      </w:r>
      <w:r w:rsidR="00BC2910" w:rsidRPr="00575896">
        <w:t>(</w:t>
      </w:r>
      <w:r w:rsidR="00C829AD" w:rsidRPr="00575896">
        <w:t>s</w:t>
      </w:r>
      <w:r w:rsidR="00BC2910" w:rsidRPr="00575896">
        <w:t>)</w:t>
      </w:r>
      <w:r w:rsidR="0070095A" w:rsidRPr="00575896">
        <w:t xml:space="preserve"> site</w:t>
      </w:r>
      <w:r w:rsidR="00BC2910" w:rsidRPr="00575896">
        <w:t>(</w:t>
      </w:r>
      <w:r w:rsidR="00C829AD" w:rsidRPr="00575896">
        <w:t>s</w:t>
      </w:r>
      <w:r w:rsidR="00BC2910" w:rsidRPr="00575896">
        <w:t>)</w:t>
      </w:r>
      <w:r w:rsidRPr="00575896">
        <w:t xml:space="preserve"> volontairement à la VSP</w:t>
      </w:r>
      <w:r w:rsidR="00610E6B" w:rsidRPr="00575896">
        <w:t xml:space="preserve"> </w:t>
      </w:r>
      <w:r w:rsidR="004F24C8" w:rsidRPr="00575896">
        <w:t>ont accès</w:t>
      </w:r>
      <w:r w:rsidRPr="00575896">
        <w:t xml:space="preserve"> au volet « </w:t>
      </w:r>
      <w:r w:rsidR="00D635AC" w:rsidRPr="00575896">
        <w:t>Sanitaire</w:t>
      </w:r>
      <w:r w:rsidRPr="00575896">
        <w:t> ».</w:t>
      </w:r>
    </w:p>
    <w:p w14:paraId="64AA0C5C" w14:textId="77777777" w:rsidR="00B068B3" w:rsidRPr="00575896" w:rsidRDefault="00B068B3" w:rsidP="00D635AC">
      <w:pPr>
        <w:jc w:val="both"/>
        <w:rPr>
          <w:b/>
          <w:bCs/>
        </w:rPr>
      </w:pPr>
      <w:r w:rsidRPr="00575896">
        <w:rPr>
          <w:b/>
          <w:bCs/>
        </w:rPr>
        <w:t>SECTION 2</w:t>
      </w:r>
    </w:p>
    <w:p w14:paraId="6AA9125E" w14:textId="77777777" w:rsidR="00B068B3" w:rsidRPr="00575896" w:rsidRDefault="00B068B3" w:rsidP="00D635AC">
      <w:pPr>
        <w:pStyle w:val="Paragraphedeliste"/>
        <w:numPr>
          <w:ilvl w:val="0"/>
          <w:numId w:val="1"/>
        </w:numPr>
        <w:jc w:val="both"/>
        <w:rPr>
          <w:b/>
          <w:bCs/>
        </w:rPr>
      </w:pPr>
      <w:r w:rsidRPr="00575896">
        <w:rPr>
          <w:b/>
          <w:bCs/>
        </w:rPr>
        <w:t>Fonctionnement</w:t>
      </w:r>
    </w:p>
    <w:p w14:paraId="73327E08" w14:textId="5BEB36E4" w:rsidR="00B068B3" w:rsidRPr="00575896" w:rsidRDefault="00B068B3" w:rsidP="00D635AC">
      <w:pPr>
        <w:jc w:val="both"/>
      </w:pPr>
      <w:r w:rsidRPr="00575896">
        <w:t xml:space="preserve">Les données recueillies pour la VSP sont utilisées pour générer des tableaux, cartes et rapports visant à permettre de produire de l’information nécessaire à la surveillance </w:t>
      </w:r>
      <w:r w:rsidR="006E1CFE" w:rsidRPr="00575896">
        <w:t xml:space="preserve">et au contrôle </w:t>
      </w:r>
      <w:r w:rsidRPr="00575896">
        <w:t>de la circulation du virus du SRRP.</w:t>
      </w:r>
      <w:r w:rsidR="00B67F7D" w:rsidRPr="00575896">
        <w:t xml:space="preserve"> </w:t>
      </w:r>
      <w:r w:rsidR="00C056D1" w:rsidRPr="00575896">
        <w:t>Ces outils possèdent le moins d’informations nominatives</w:t>
      </w:r>
      <w:r w:rsidR="00694CB2" w:rsidRPr="00575896">
        <w:t xml:space="preserve"> possible</w:t>
      </w:r>
      <w:r w:rsidR="00C056D1" w:rsidRPr="00575896">
        <w:t>.</w:t>
      </w:r>
    </w:p>
    <w:p w14:paraId="551BE790" w14:textId="77777777" w:rsidR="00AB24D7" w:rsidRPr="00575896" w:rsidRDefault="00B068B3" w:rsidP="00D635AC">
      <w:pPr>
        <w:jc w:val="both"/>
      </w:pPr>
      <w:r w:rsidRPr="00575896">
        <w:t>Les données peuvent également être utilisées pour produire des rapports et des analyses d’intérêt public. Le cas échéant, ces rapports et analyses ne contiennent aucune information nominative</w:t>
      </w:r>
      <w:r w:rsidR="00AB24D7" w:rsidRPr="00575896">
        <w:t>.</w:t>
      </w:r>
    </w:p>
    <w:p w14:paraId="7319E998" w14:textId="7D1F6739" w:rsidR="00B068B3" w:rsidRPr="00575896" w:rsidRDefault="00AB24D7" w:rsidP="00D635AC">
      <w:pPr>
        <w:jc w:val="both"/>
      </w:pPr>
      <w:r w:rsidRPr="00575896">
        <w:t>Le</w:t>
      </w:r>
      <w:r w:rsidR="002D37A9" w:rsidRPr="00575896">
        <w:t>s outils et leurs gabarits sont</w:t>
      </w:r>
      <w:r w:rsidR="00B068B3" w:rsidRPr="00575896">
        <w:t xml:space="preserve"> préalablement soumis à l’autorisation de l’EQSP.</w:t>
      </w:r>
    </w:p>
    <w:p w14:paraId="6F7B3710" w14:textId="7D80C0ED" w:rsidR="00895809" w:rsidRPr="00575896" w:rsidRDefault="00B068B3" w:rsidP="00D635AC">
      <w:pPr>
        <w:pStyle w:val="Paragraphedeliste"/>
        <w:numPr>
          <w:ilvl w:val="0"/>
          <w:numId w:val="1"/>
        </w:numPr>
        <w:jc w:val="both"/>
        <w:rPr>
          <w:b/>
          <w:bCs/>
        </w:rPr>
      </w:pPr>
      <w:r w:rsidRPr="00575896">
        <w:rPr>
          <w:b/>
          <w:bCs/>
        </w:rPr>
        <w:t xml:space="preserve">Obligations du </w:t>
      </w:r>
      <w:r w:rsidR="0076537F" w:rsidRPr="00575896">
        <w:rPr>
          <w:b/>
          <w:bCs/>
        </w:rPr>
        <w:t xml:space="preserve">producteur </w:t>
      </w:r>
      <w:r w:rsidRPr="00575896">
        <w:rPr>
          <w:b/>
          <w:bCs/>
        </w:rPr>
        <w:t>participant</w:t>
      </w:r>
    </w:p>
    <w:p w14:paraId="64FC5A7E" w14:textId="721E6222" w:rsidR="00B068B3" w:rsidRPr="00575896" w:rsidRDefault="00D635AC" w:rsidP="00D635AC">
      <w:pPr>
        <w:jc w:val="both"/>
      </w:pPr>
      <w:r w:rsidRPr="00575896">
        <w:t>V</w:t>
      </w:r>
      <w:r w:rsidR="00095459" w:rsidRPr="00575896">
        <w:t>olet Identification</w:t>
      </w:r>
      <w:r w:rsidR="00B068B3" w:rsidRPr="00575896">
        <w:t> </w:t>
      </w:r>
      <w:r w:rsidR="00FF0515" w:rsidRPr="00575896">
        <w:t xml:space="preserve">(obligatoire) </w:t>
      </w:r>
      <w:r w:rsidR="00B068B3" w:rsidRPr="00575896">
        <w:t>:</w:t>
      </w:r>
    </w:p>
    <w:p w14:paraId="0A59A1C8" w14:textId="7FB52604" w:rsidR="00DF2F91" w:rsidRPr="00575896" w:rsidRDefault="00D635AC" w:rsidP="00CC2A41">
      <w:pPr>
        <w:pStyle w:val="Paragraphedeliste"/>
        <w:numPr>
          <w:ilvl w:val="0"/>
          <w:numId w:val="3"/>
        </w:numPr>
        <w:jc w:val="both"/>
      </w:pPr>
      <w:r w:rsidRPr="00575896">
        <w:t>Le p</w:t>
      </w:r>
      <w:r w:rsidR="00FF0515" w:rsidRPr="00575896">
        <w:t>roducteur</w:t>
      </w:r>
      <w:r w:rsidRPr="00575896">
        <w:t xml:space="preserve"> </w:t>
      </w:r>
      <w:r w:rsidR="00FF0515" w:rsidRPr="00575896">
        <w:t>maintient</w:t>
      </w:r>
      <w:r w:rsidR="00B068B3" w:rsidRPr="00575896">
        <w:t xml:space="preserve"> et met à jour les données d’identification relatives </w:t>
      </w:r>
      <w:r w:rsidR="00095459" w:rsidRPr="00575896">
        <w:t xml:space="preserve">au(x) site(s) </w:t>
      </w:r>
      <w:r w:rsidR="00B068B3" w:rsidRPr="00575896">
        <w:t xml:space="preserve">de production </w:t>
      </w:r>
      <w:r w:rsidR="00095459" w:rsidRPr="00575896">
        <w:t xml:space="preserve">qu’il exploite </w:t>
      </w:r>
      <w:r w:rsidR="00B068B3" w:rsidRPr="00575896">
        <w:t>dans la base de données des É</w:t>
      </w:r>
      <w:r w:rsidR="00095459" w:rsidRPr="00575896">
        <w:t>PQ</w:t>
      </w:r>
      <w:r w:rsidR="00F04D1D" w:rsidRPr="00575896">
        <w:t xml:space="preserve"> (action déjà réalisée dans le cadre d</w:t>
      </w:r>
      <w:r w:rsidR="0013168E" w:rsidRPr="00575896">
        <w:t xml:space="preserve">’une autre </w:t>
      </w:r>
      <w:r w:rsidR="00F11294" w:rsidRPr="00575896">
        <w:t>obligation règlementaire</w:t>
      </w:r>
      <w:r w:rsidR="008D1F87" w:rsidRPr="00575896">
        <w:t xml:space="preserve"> de l’éleveur)</w:t>
      </w:r>
      <w:r w:rsidR="00AC5E6F" w:rsidRPr="00575896">
        <w:t xml:space="preserve">. </w:t>
      </w:r>
      <w:r w:rsidRPr="00575896">
        <w:t>Les données ainsi recueillies sont transmises</w:t>
      </w:r>
      <w:r w:rsidR="00B068B3" w:rsidRPr="00575896">
        <w:t xml:space="preserve"> aux </w:t>
      </w:r>
      <w:r w:rsidR="00095459" w:rsidRPr="00575896">
        <w:t>intervenants et partenaires</w:t>
      </w:r>
      <w:r w:rsidR="00BA6A6A" w:rsidRPr="00575896">
        <w:t xml:space="preserve"> et permettent de générer des outils </w:t>
      </w:r>
      <w:r w:rsidR="003257EA" w:rsidRPr="00575896">
        <w:t xml:space="preserve">de surveillance et </w:t>
      </w:r>
      <w:r w:rsidR="00BA6A6A" w:rsidRPr="00575896">
        <w:t>d’aide à la décision.</w:t>
      </w:r>
      <w:r w:rsidR="002F7211" w:rsidRPr="00575896">
        <w:t xml:space="preserve"> Le producteur a accès à certains de ces outils sur lesquelles il pourrait voir la localisation </w:t>
      </w:r>
      <w:r w:rsidR="003257EA" w:rsidRPr="00575896">
        <w:t>et certaines informations sur le</w:t>
      </w:r>
      <w:r w:rsidR="00F705B5" w:rsidRPr="00575896">
        <w:t>s sites avoisinants (dans un rayon de 10 k</w:t>
      </w:r>
      <w:r w:rsidR="0026385B" w:rsidRPr="00575896">
        <w:t>m</w:t>
      </w:r>
      <w:r w:rsidR="00F705B5" w:rsidRPr="00575896">
        <w:t xml:space="preserve"> du sien)</w:t>
      </w:r>
      <w:r w:rsidR="00E865D0" w:rsidRPr="00575896">
        <w:t>.</w:t>
      </w:r>
    </w:p>
    <w:p w14:paraId="378AAEE1" w14:textId="77777777" w:rsidR="00994C24" w:rsidRPr="00575896" w:rsidRDefault="00994C24" w:rsidP="00D635AC">
      <w:pPr>
        <w:jc w:val="both"/>
      </w:pPr>
    </w:p>
    <w:p w14:paraId="342E92F9" w14:textId="77777777" w:rsidR="00994C24" w:rsidRPr="00575896" w:rsidRDefault="00994C24" w:rsidP="00D635AC">
      <w:pPr>
        <w:jc w:val="both"/>
      </w:pPr>
    </w:p>
    <w:p w14:paraId="6FAAB086" w14:textId="5E63C2A1" w:rsidR="00095459" w:rsidRPr="00575896" w:rsidRDefault="00D635AC" w:rsidP="00D635AC">
      <w:pPr>
        <w:jc w:val="both"/>
      </w:pPr>
      <w:r w:rsidRPr="00575896">
        <w:lastRenderedPageBreak/>
        <w:t>V</w:t>
      </w:r>
      <w:r w:rsidR="00095459" w:rsidRPr="00575896">
        <w:t xml:space="preserve">olet Sanitaire </w:t>
      </w:r>
      <w:r w:rsidR="00FF0515" w:rsidRPr="00575896">
        <w:t xml:space="preserve">(facultatif) </w:t>
      </w:r>
      <w:r w:rsidR="00095459" w:rsidRPr="00575896">
        <w:t>:</w:t>
      </w:r>
    </w:p>
    <w:p w14:paraId="22CFFFF0" w14:textId="4B0F1546" w:rsidR="004F24C8" w:rsidRPr="00575896" w:rsidRDefault="004F24C8" w:rsidP="004F24C8">
      <w:pPr>
        <w:pStyle w:val="Paragraphedeliste"/>
        <w:numPr>
          <w:ilvl w:val="0"/>
          <w:numId w:val="3"/>
        </w:numPr>
        <w:jc w:val="both"/>
      </w:pPr>
      <w:r w:rsidRPr="00575896">
        <w:t>Le p</w:t>
      </w:r>
      <w:r w:rsidR="00721175" w:rsidRPr="00575896">
        <w:t>roducteur</w:t>
      </w:r>
      <w:r w:rsidRPr="00575896">
        <w:t xml:space="preserve"> </w:t>
      </w:r>
      <w:r w:rsidR="00CD3EB0" w:rsidRPr="00575896">
        <w:t xml:space="preserve">doit </w:t>
      </w:r>
      <w:r w:rsidRPr="00575896">
        <w:t>mainten</w:t>
      </w:r>
      <w:r w:rsidR="00CD3EB0" w:rsidRPr="00575896">
        <w:t xml:space="preserve">ir </w:t>
      </w:r>
      <w:r w:rsidRPr="00575896">
        <w:t xml:space="preserve">un statut sanitaire valide et à jour de son site de production pour avoir accès au statut sanitaire des lieux de production situés dans un rayon de 10 km du sien. </w:t>
      </w:r>
    </w:p>
    <w:p w14:paraId="5AB94365" w14:textId="77777777" w:rsidR="004F24C8" w:rsidRPr="00575896" w:rsidRDefault="004F24C8" w:rsidP="004F24C8">
      <w:pPr>
        <w:pStyle w:val="Paragraphedeliste"/>
        <w:ind w:left="1068"/>
        <w:jc w:val="both"/>
      </w:pPr>
    </w:p>
    <w:p w14:paraId="0242FF0B" w14:textId="02FA3539" w:rsidR="00B068B3" w:rsidRPr="00575896" w:rsidRDefault="00D635AC" w:rsidP="00D635AC">
      <w:pPr>
        <w:pStyle w:val="Paragraphedeliste"/>
        <w:numPr>
          <w:ilvl w:val="0"/>
          <w:numId w:val="3"/>
        </w:numPr>
        <w:jc w:val="both"/>
      </w:pPr>
      <w:r w:rsidRPr="00575896">
        <w:t xml:space="preserve">Le </w:t>
      </w:r>
      <w:r w:rsidR="00FF0515" w:rsidRPr="00575896">
        <w:t>producteur</w:t>
      </w:r>
      <w:r w:rsidR="0047401F" w:rsidRPr="00575896">
        <w:t>,</w:t>
      </w:r>
      <w:r w:rsidRPr="00575896">
        <w:t xml:space="preserve"> ou son vétérinaire désigné</w:t>
      </w:r>
      <w:r w:rsidR="00EF7D15" w:rsidRPr="00575896">
        <w:t>,</w:t>
      </w:r>
      <w:r w:rsidRPr="00575896">
        <w:t xml:space="preserve"> </w:t>
      </w:r>
      <w:r w:rsidR="00FF0515" w:rsidRPr="00575896">
        <w:t>transmet</w:t>
      </w:r>
      <w:r w:rsidR="00B068B3" w:rsidRPr="00575896">
        <w:t xml:space="preserve"> les données sanitaires </w:t>
      </w:r>
      <w:r w:rsidR="00095459" w:rsidRPr="00575896">
        <w:t xml:space="preserve">relatives au(x) site(s) </w:t>
      </w:r>
      <w:r w:rsidRPr="00575896">
        <w:t xml:space="preserve">de production qu’il exploite </w:t>
      </w:r>
      <w:r w:rsidR="00095459" w:rsidRPr="00575896">
        <w:t>aux intervenant</w:t>
      </w:r>
      <w:r w:rsidR="00FB45F5" w:rsidRPr="00575896">
        <w:t>s.</w:t>
      </w:r>
    </w:p>
    <w:p w14:paraId="5F3EEDEF" w14:textId="77777777" w:rsidR="00D635AC" w:rsidRPr="00575896" w:rsidRDefault="00D635AC" w:rsidP="00D635AC">
      <w:pPr>
        <w:pStyle w:val="Paragraphedeliste"/>
        <w:ind w:left="1068"/>
        <w:jc w:val="both"/>
      </w:pPr>
    </w:p>
    <w:p w14:paraId="0C3AD8B9" w14:textId="4A1D0255" w:rsidR="00AC5E6F" w:rsidRPr="00575896" w:rsidRDefault="00AC5E6F" w:rsidP="00AC5E6F">
      <w:pPr>
        <w:pStyle w:val="Paragraphedeliste"/>
        <w:ind w:left="1068"/>
        <w:jc w:val="both"/>
      </w:pPr>
      <w:r w:rsidRPr="00575896">
        <w:t>Le statut sanitaire des animaux au regard du SRRP est toujours présumé être celui résultant de la connaissance du vétérinaire traitant, selon les pratiques et les normes reconnues ou établies pour la VSP, et selon les plus récents résultats des tests diagnostiques disponibles (PCR, ELISA et séquençage).</w:t>
      </w:r>
      <w:r w:rsidR="00257AA8" w:rsidRPr="00575896">
        <w:t xml:space="preserve"> Un statut sanitaire, le cas échéant, est considéré valide pour une période maximale de douze mois suivant la saisie</w:t>
      </w:r>
      <w:r w:rsidR="00F5450D" w:rsidRPr="00575896">
        <w:t xml:space="preserve"> </w:t>
      </w:r>
      <w:r w:rsidR="00F5450D" w:rsidRPr="00E44BDA">
        <w:t xml:space="preserve">(les GDC peuvent </w:t>
      </w:r>
      <w:r w:rsidR="002113D1" w:rsidRPr="00E44BDA">
        <w:t xml:space="preserve">demander une </w:t>
      </w:r>
      <w:r w:rsidR="00B05FC3" w:rsidRPr="00E44BDA">
        <w:t>mise à jour des statuts plus fréquents)</w:t>
      </w:r>
      <w:r w:rsidR="00257AA8" w:rsidRPr="00E44BDA">
        <w:t>.</w:t>
      </w:r>
    </w:p>
    <w:p w14:paraId="39706C84" w14:textId="58836E78" w:rsidR="00D22882" w:rsidRPr="00575896" w:rsidRDefault="00D22882" w:rsidP="00D22882">
      <w:pPr>
        <w:spacing w:after="0"/>
        <w:rPr>
          <w:rFonts w:asciiTheme="minorHAnsi" w:hAnsiTheme="minorHAnsi"/>
          <w:b/>
          <w:bCs/>
        </w:rPr>
      </w:pPr>
    </w:p>
    <w:p w14:paraId="4531E6A2" w14:textId="2669A40D" w:rsidR="00805A9F" w:rsidRPr="00575896" w:rsidRDefault="00805A9F" w:rsidP="00D22882">
      <w:pPr>
        <w:spacing w:after="0"/>
        <w:rPr>
          <w:rFonts w:asciiTheme="minorHAnsi" w:hAnsiTheme="minorHAnsi"/>
          <w:b/>
          <w:bCs/>
        </w:rPr>
      </w:pPr>
    </w:p>
    <w:p w14:paraId="3DC76056" w14:textId="24C7A660" w:rsidR="00805A9F" w:rsidRPr="00575896" w:rsidRDefault="00805A9F" w:rsidP="00D22882">
      <w:pPr>
        <w:spacing w:after="0"/>
        <w:rPr>
          <w:rFonts w:asciiTheme="minorHAnsi" w:hAnsiTheme="minorHAnsi"/>
          <w:b/>
          <w:bCs/>
        </w:rPr>
      </w:pPr>
    </w:p>
    <w:p w14:paraId="1A467044" w14:textId="1B4DADCF" w:rsidR="00805A9F" w:rsidRPr="00575896" w:rsidRDefault="00805A9F" w:rsidP="00D22882">
      <w:pPr>
        <w:spacing w:after="0"/>
        <w:rPr>
          <w:rFonts w:asciiTheme="minorHAnsi" w:hAnsiTheme="minorHAnsi"/>
          <w:b/>
          <w:bCs/>
        </w:rPr>
      </w:pPr>
    </w:p>
    <w:p w14:paraId="0E118E28" w14:textId="52875199" w:rsidR="00805A9F" w:rsidRPr="00575896" w:rsidRDefault="00805A9F" w:rsidP="00D22882">
      <w:pPr>
        <w:spacing w:after="0"/>
        <w:rPr>
          <w:rFonts w:asciiTheme="minorHAnsi" w:hAnsiTheme="minorHAnsi"/>
          <w:b/>
          <w:bCs/>
        </w:rPr>
      </w:pPr>
    </w:p>
    <w:p w14:paraId="2C5235D9" w14:textId="68E88272" w:rsidR="00805A9F" w:rsidRPr="00575896" w:rsidRDefault="00805A9F" w:rsidP="00D22882">
      <w:pPr>
        <w:spacing w:after="0"/>
        <w:rPr>
          <w:rFonts w:asciiTheme="minorHAnsi" w:hAnsiTheme="minorHAnsi"/>
          <w:b/>
          <w:bCs/>
        </w:rPr>
      </w:pPr>
    </w:p>
    <w:p w14:paraId="3AE14D98" w14:textId="706A958F" w:rsidR="00805A9F" w:rsidRPr="00575896" w:rsidRDefault="00805A9F" w:rsidP="00D22882">
      <w:pPr>
        <w:spacing w:after="0"/>
        <w:rPr>
          <w:rFonts w:asciiTheme="minorHAnsi" w:hAnsiTheme="minorHAnsi"/>
          <w:b/>
          <w:bCs/>
        </w:rPr>
      </w:pPr>
    </w:p>
    <w:p w14:paraId="43F88AE1" w14:textId="30F4C45D" w:rsidR="00805A9F" w:rsidRPr="00575896" w:rsidRDefault="00805A9F" w:rsidP="00D22882">
      <w:pPr>
        <w:spacing w:after="0"/>
        <w:rPr>
          <w:rFonts w:asciiTheme="minorHAnsi" w:hAnsiTheme="minorHAnsi"/>
          <w:b/>
          <w:bCs/>
        </w:rPr>
      </w:pPr>
    </w:p>
    <w:p w14:paraId="391DE978" w14:textId="4B927796" w:rsidR="00805A9F" w:rsidRPr="00575896" w:rsidRDefault="00805A9F" w:rsidP="00D22882">
      <w:pPr>
        <w:spacing w:after="0"/>
        <w:rPr>
          <w:rFonts w:asciiTheme="minorHAnsi" w:hAnsiTheme="minorHAnsi"/>
          <w:b/>
          <w:bCs/>
        </w:rPr>
      </w:pPr>
    </w:p>
    <w:p w14:paraId="4D028AE9" w14:textId="7597E92E" w:rsidR="00805A9F" w:rsidRPr="00575896" w:rsidRDefault="00805A9F" w:rsidP="00D22882">
      <w:pPr>
        <w:spacing w:after="0"/>
        <w:rPr>
          <w:rFonts w:asciiTheme="minorHAnsi" w:hAnsiTheme="minorHAnsi"/>
          <w:b/>
          <w:bCs/>
        </w:rPr>
      </w:pPr>
    </w:p>
    <w:p w14:paraId="5FD97010" w14:textId="33ACF473" w:rsidR="00805A9F" w:rsidRPr="00575896" w:rsidRDefault="00805A9F" w:rsidP="00D22882">
      <w:pPr>
        <w:spacing w:after="0"/>
        <w:rPr>
          <w:rFonts w:asciiTheme="minorHAnsi" w:hAnsiTheme="minorHAnsi"/>
          <w:b/>
          <w:bCs/>
        </w:rPr>
      </w:pPr>
    </w:p>
    <w:p w14:paraId="0D2AA311" w14:textId="37BE7B00" w:rsidR="00805A9F" w:rsidRPr="00575896" w:rsidRDefault="00805A9F" w:rsidP="00D22882">
      <w:pPr>
        <w:spacing w:after="0"/>
        <w:rPr>
          <w:rFonts w:asciiTheme="minorHAnsi" w:hAnsiTheme="minorHAnsi"/>
          <w:b/>
          <w:bCs/>
        </w:rPr>
      </w:pPr>
    </w:p>
    <w:p w14:paraId="21816ED7" w14:textId="7D85FEA6" w:rsidR="00805A9F" w:rsidRPr="00575896" w:rsidRDefault="00805A9F" w:rsidP="00D22882">
      <w:pPr>
        <w:spacing w:after="0"/>
        <w:rPr>
          <w:rFonts w:asciiTheme="minorHAnsi" w:hAnsiTheme="minorHAnsi"/>
          <w:b/>
          <w:bCs/>
        </w:rPr>
      </w:pPr>
    </w:p>
    <w:p w14:paraId="188730A0" w14:textId="15612998" w:rsidR="00805A9F" w:rsidRPr="00575896" w:rsidRDefault="00805A9F" w:rsidP="00D22882">
      <w:pPr>
        <w:spacing w:after="0"/>
        <w:rPr>
          <w:rFonts w:asciiTheme="minorHAnsi" w:hAnsiTheme="minorHAnsi"/>
          <w:b/>
          <w:bCs/>
        </w:rPr>
      </w:pPr>
    </w:p>
    <w:p w14:paraId="4B8559ED" w14:textId="55D7AB4B" w:rsidR="00805A9F" w:rsidRPr="00575896" w:rsidRDefault="00805A9F" w:rsidP="00D22882">
      <w:pPr>
        <w:spacing w:after="0"/>
        <w:rPr>
          <w:rFonts w:asciiTheme="minorHAnsi" w:hAnsiTheme="minorHAnsi"/>
          <w:b/>
          <w:bCs/>
        </w:rPr>
      </w:pPr>
    </w:p>
    <w:p w14:paraId="4DD3400D" w14:textId="3C4D0A77" w:rsidR="00805A9F" w:rsidRPr="00575896" w:rsidRDefault="00805A9F" w:rsidP="00D22882">
      <w:pPr>
        <w:spacing w:after="0"/>
        <w:rPr>
          <w:rFonts w:asciiTheme="minorHAnsi" w:hAnsiTheme="minorHAnsi"/>
          <w:b/>
          <w:bCs/>
        </w:rPr>
      </w:pPr>
    </w:p>
    <w:p w14:paraId="7297459A" w14:textId="30562500" w:rsidR="00805A9F" w:rsidRPr="00575896" w:rsidRDefault="00805A9F" w:rsidP="00D22882">
      <w:pPr>
        <w:spacing w:after="0"/>
        <w:rPr>
          <w:rFonts w:asciiTheme="minorHAnsi" w:hAnsiTheme="minorHAnsi"/>
          <w:b/>
          <w:bCs/>
        </w:rPr>
      </w:pPr>
    </w:p>
    <w:p w14:paraId="73D634CF" w14:textId="7BB4D1CC" w:rsidR="00805A9F" w:rsidRPr="00575896" w:rsidRDefault="00805A9F" w:rsidP="00D22882">
      <w:pPr>
        <w:spacing w:after="0"/>
        <w:rPr>
          <w:rFonts w:asciiTheme="minorHAnsi" w:hAnsiTheme="minorHAnsi"/>
          <w:b/>
          <w:bCs/>
        </w:rPr>
      </w:pPr>
    </w:p>
    <w:p w14:paraId="62E16ED3" w14:textId="7D658E42" w:rsidR="00805A9F" w:rsidRPr="00575896" w:rsidRDefault="00805A9F" w:rsidP="00D22882">
      <w:pPr>
        <w:spacing w:after="0"/>
        <w:rPr>
          <w:rFonts w:asciiTheme="minorHAnsi" w:hAnsiTheme="minorHAnsi"/>
          <w:b/>
          <w:bCs/>
        </w:rPr>
      </w:pPr>
    </w:p>
    <w:p w14:paraId="3C0F729D" w14:textId="37ACB598" w:rsidR="00805A9F" w:rsidRPr="00575896" w:rsidRDefault="00805A9F" w:rsidP="00D22882">
      <w:pPr>
        <w:spacing w:after="0"/>
        <w:rPr>
          <w:rFonts w:asciiTheme="minorHAnsi" w:hAnsiTheme="minorHAnsi"/>
          <w:b/>
          <w:bCs/>
        </w:rPr>
      </w:pPr>
    </w:p>
    <w:p w14:paraId="77BF69C6" w14:textId="0549BDCE" w:rsidR="00805A9F" w:rsidRPr="00575896" w:rsidRDefault="00805A9F" w:rsidP="00D22882">
      <w:pPr>
        <w:spacing w:after="0"/>
        <w:rPr>
          <w:rFonts w:asciiTheme="minorHAnsi" w:hAnsiTheme="minorHAnsi"/>
          <w:b/>
          <w:bCs/>
        </w:rPr>
      </w:pPr>
    </w:p>
    <w:p w14:paraId="79033876" w14:textId="0B9A02A7" w:rsidR="00805A9F" w:rsidRPr="00575896" w:rsidRDefault="00805A9F" w:rsidP="00D22882">
      <w:pPr>
        <w:spacing w:after="0"/>
        <w:rPr>
          <w:rFonts w:asciiTheme="minorHAnsi" w:hAnsiTheme="minorHAnsi"/>
          <w:b/>
          <w:bCs/>
        </w:rPr>
      </w:pPr>
    </w:p>
    <w:p w14:paraId="2E6476D8" w14:textId="5F2FFC75" w:rsidR="00805A9F" w:rsidRPr="00575896" w:rsidRDefault="00805A9F" w:rsidP="00D22882">
      <w:pPr>
        <w:spacing w:after="0"/>
        <w:rPr>
          <w:rFonts w:asciiTheme="minorHAnsi" w:hAnsiTheme="minorHAnsi"/>
          <w:b/>
          <w:bCs/>
        </w:rPr>
      </w:pPr>
    </w:p>
    <w:p w14:paraId="4EF4F2FD" w14:textId="261AAFA0" w:rsidR="00805A9F" w:rsidRPr="00575896" w:rsidRDefault="00805A9F" w:rsidP="00D22882">
      <w:pPr>
        <w:spacing w:after="0"/>
        <w:rPr>
          <w:rFonts w:asciiTheme="minorHAnsi" w:hAnsiTheme="minorHAnsi"/>
          <w:b/>
          <w:bCs/>
        </w:rPr>
      </w:pPr>
    </w:p>
    <w:p w14:paraId="68D04D30" w14:textId="1A2E0FE5" w:rsidR="00805A9F" w:rsidRPr="00575896" w:rsidRDefault="00805A9F" w:rsidP="00D22882">
      <w:pPr>
        <w:spacing w:after="0"/>
        <w:rPr>
          <w:rFonts w:asciiTheme="minorHAnsi" w:hAnsiTheme="minorHAnsi"/>
          <w:b/>
          <w:bCs/>
        </w:rPr>
      </w:pPr>
    </w:p>
    <w:p w14:paraId="7424756B" w14:textId="35B970AC" w:rsidR="00805A9F" w:rsidRPr="00575896" w:rsidRDefault="00805A9F" w:rsidP="00D22882">
      <w:pPr>
        <w:spacing w:after="0"/>
        <w:rPr>
          <w:rFonts w:asciiTheme="minorHAnsi" w:hAnsiTheme="minorHAnsi"/>
          <w:b/>
          <w:bCs/>
        </w:rPr>
      </w:pPr>
    </w:p>
    <w:p w14:paraId="2624586B" w14:textId="5B60C3DB" w:rsidR="00805A9F" w:rsidRPr="00575896" w:rsidRDefault="00805A9F" w:rsidP="00D22882">
      <w:pPr>
        <w:spacing w:after="0"/>
        <w:rPr>
          <w:rFonts w:asciiTheme="minorHAnsi" w:hAnsiTheme="minorHAnsi"/>
          <w:b/>
          <w:bCs/>
        </w:rPr>
      </w:pPr>
    </w:p>
    <w:p w14:paraId="2A46913C" w14:textId="703E7B1E" w:rsidR="00805A9F" w:rsidRPr="00575896" w:rsidRDefault="00805A9F" w:rsidP="00D22882">
      <w:pPr>
        <w:spacing w:after="0"/>
        <w:rPr>
          <w:rFonts w:asciiTheme="minorHAnsi" w:hAnsiTheme="minorHAnsi"/>
          <w:b/>
          <w:bCs/>
        </w:rPr>
      </w:pPr>
    </w:p>
    <w:p w14:paraId="28062350" w14:textId="0E857FD1" w:rsidR="00805A9F" w:rsidRPr="00575896" w:rsidRDefault="00805A9F" w:rsidP="00D22882">
      <w:pPr>
        <w:spacing w:after="0"/>
        <w:rPr>
          <w:rFonts w:asciiTheme="minorHAnsi" w:hAnsiTheme="minorHAnsi"/>
          <w:b/>
          <w:bCs/>
        </w:rPr>
      </w:pPr>
    </w:p>
    <w:p w14:paraId="29C0FD19" w14:textId="74A6FD7D" w:rsidR="00753A73" w:rsidRPr="00575896" w:rsidRDefault="00753A73" w:rsidP="00753A73">
      <w:pPr>
        <w:spacing w:after="0"/>
        <w:rPr>
          <w:b/>
          <w:bCs/>
        </w:rPr>
      </w:pPr>
      <w:r w:rsidRPr="00575896">
        <w:rPr>
          <w:b/>
          <w:bCs/>
        </w:rPr>
        <w:lastRenderedPageBreak/>
        <w:t>Annexe 1 : Définition du partage de donnée</w:t>
      </w:r>
      <w:r w:rsidR="00575896">
        <w:rPr>
          <w:b/>
          <w:bCs/>
        </w:rPr>
        <w:t>s</w:t>
      </w:r>
    </w:p>
    <w:p w14:paraId="6BBA73FB" w14:textId="77777777" w:rsidR="00753A73" w:rsidRPr="00575896" w:rsidRDefault="00753A73" w:rsidP="00753A73">
      <w:pPr>
        <w:spacing w:after="0" w:line="257" w:lineRule="auto"/>
        <w:jc w:val="both"/>
      </w:pPr>
      <w:r w:rsidRPr="00575896">
        <w:rPr>
          <w:rFonts w:ascii="Calibri" w:eastAsia="Calibri" w:hAnsi="Calibri" w:cs="Calibri"/>
        </w:rPr>
        <w:t xml:space="preserve"> </w:t>
      </w:r>
    </w:p>
    <w:tbl>
      <w:tblPr>
        <w:tblStyle w:val="Grilledutableau"/>
        <w:tblW w:w="9242" w:type="dxa"/>
        <w:tblInd w:w="0" w:type="dxa"/>
        <w:tblLook w:val="04A0" w:firstRow="1" w:lastRow="0" w:firstColumn="1" w:lastColumn="0" w:noHBand="0" w:noVBand="1"/>
      </w:tblPr>
      <w:tblGrid>
        <w:gridCol w:w="2866"/>
        <w:gridCol w:w="3376"/>
        <w:gridCol w:w="1161"/>
        <w:gridCol w:w="363"/>
        <w:gridCol w:w="363"/>
        <w:gridCol w:w="375"/>
        <w:gridCol w:w="375"/>
        <w:gridCol w:w="363"/>
      </w:tblGrid>
      <w:tr w:rsidR="00753A73" w:rsidRPr="00575896" w14:paraId="1ED159C9" w14:textId="77777777" w:rsidTr="000D3728">
        <w:tc>
          <w:tcPr>
            <w:tcW w:w="2893" w:type="dxa"/>
            <w:vMerge w:val="restart"/>
            <w:vAlign w:val="center"/>
          </w:tcPr>
          <w:p w14:paraId="6B006475" w14:textId="4557AA15" w:rsidR="00753A73" w:rsidRPr="00575896" w:rsidRDefault="00753A73" w:rsidP="000D3728">
            <w:r w:rsidRPr="00575896">
              <w:t>Donnée</w:t>
            </w:r>
            <w:r w:rsidR="00575896">
              <w:t>s</w:t>
            </w:r>
          </w:p>
        </w:tc>
        <w:tc>
          <w:tcPr>
            <w:tcW w:w="3481" w:type="dxa"/>
            <w:vMerge w:val="restart"/>
            <w:vAlign w:val="center"/>
          </w:tcPr>
          <w:p w14:paraId="091ADB83" w14:textId="77777777" w:rsidR="00753A73" w:rsidRPr="00575896" w:rsidRDefault="00753A73" w:rsidP="000D3728">
            <w:r w:rsidRPr="00575896">
              <w:t>Définition</w:t>
            </w:r>
          </w:p>
        </w:tc>
        <w:tc>
          <w:tcPr>
            <w:tcW w:w="1168" w:type="dxa"/>
            <w:vMerge w:val="restart"/>
            <w:vAlign w:val="center"/>
          </w:tcPr>
          <w:p w14:paraId="6663DF91" w14:textId="001FCE2F" w:rsidR="00753A73" w:rsidRPr="00575896" w:rsidRDefault="00753A73" w:rsidP="000D3728">
            <w:r w:rsidRPr="00575896">
              <w:t>Qui a les données</w:t>
            </w:r>
          </w:p>
        </w:tc>
        <w:tc>
          <w:tcPr>
            <w:tcW w:w="1700" w:type="dxa"/>
            <w:gridSpan w:val="5"/>
          </w:tcPr>
          <w:p w14:paraId="2084B99C" w14:textId="77777777" w:rsidR="00753A73" w:rsidRPr="00575896" w:rsidRDefault="00753A73" w:rsidP="000D3728">
            <w:pPr>
              <w:jc w:val="center"/>
            </w:pPr>
            <w:r w:rsidRPr="00575896">
              <w:t>À qui les données sont partagées</w:t>
            </w:r>
          </w:p>
        </w:tc>
      </w:tr>
      <w:tr w:rsidR="00753A73" w:rsidRPr="00575896" w14:paraId="1E477396" w14:textId="77777777" w:rsidTr="000D3728">
        <w:tc>
          <w:tcPr>
            <w:tcW w:w="2893" w:type="dxa"/>
            <w:vMerge/>
          </w:tcPr>
          <w:p w14:paraId="606E2BC4" w14:textId="77777777" w:rsidR="00753A73" w:rsidRPr="00575896" w:rsidRDefault="00753A73" w:rsidP="000D3728"/>
        </w:tc>
        <w:tc>
          <w:tcPr>
            <w:tcW w:w="3481" w:type="dxa"/>
            <w:vMerge/>
          </w:tcPr>
          <w:p w14:paraId="7D91DD6F" w14:textId="77777777" w:rsidR="00753A73" w:rsidRPr="00575896" w:rsidRDefault="00753A73" w:rsidP="000D3728"/>
        </w:tc>
        <w:tc>
          <w:tcPr>
            <w:tcW w:w="1168" w:type="dxa"/>
            <w:vMerge/>
          </w:tcPr>
          <w:p w14:paraId="5FE8E65B" w14:textId="77777777" w:rsidR="00753A73" w:rsidRPr="00575896" w:rsidRDefault="00753A73" w:rsidP="000D3728"/>
        </w:tc>
        <w:tc>
          <w:tcPr>
            <w:tcW w:w="344" w:type="dxa"/>
          </w:tcPr>
          <w:p w14:paraId="04DA14CB" w14:textId="77777777" w:rsidR="00753A73" w:rsidRPr="00575896" w:rsidRDefault="00753A73" w:rsidP="000D3728">
            <w:r w:rsidRPr="00575896">
              <w:t>A</w:t>
            </w:r>
          </w:p>
        </w:tc>
        <w:tc>
          <w:tcPr>
            <w:tcW w:w="336" w:type="dxa"/>
          </w:tcPr>
          <w:p w14:paraId="3D5C5A28" w14:textId="77777777" w:rsidR="00753A73" w:rsidRPr="00575896" w:rsidRDefault="00753A73" w:rsidP="000D3728">
            <w:r w:rsidRPr="00575896">
              <w:t>B</w:t>
            </w:r>
          </w:p>
        </w:tc>
        <w:tc>
          <w:tcPr>
            <w:tcW w:w="334" w:type="dxa"/>
          </w:tcPr>
          <w:p w14:paraId="1AFB8308" w14:textId="77777777" w:rsidR="00753A73" w:rsidRPr="00575896" w:rsidRDefault="00753A73" w:rsidP="000D3728">
            <w:r w:rsidRPr="00575896">
              <w:t>C</w:t>
            </w:r>
          </w:p>
        </w:tc>
        <w:tc>
          <w:tcPr>
            <w:tcW w:w="352" w:type="dxa"/>
          </w:tcPr>
          <w:p w14:paraId="3DDE7CDC" w14:textId="77777777" w:rsidR="00753A73" w:rsidRPr="00575896" w:rsidRDefault="00753A73" w:rsidP="000D3728">
            <w:r w:rsidRPr="00575896">
              <w:t>D</w:t>
            </w:r>
          </w:p>
        </w:tc>
        <w:tc>
          <w:tcPr>
            <w:tcW w:w="334" w:type="dxa"/>
          </w:tcPr>
          <w:p w14:paraId="1B68CB2E" w14:textId="77777777" w:rsidR="00753A73" w:rsidRPr="00575896" w:rsidRDefault="00753A73" w:rsidP="000D3728">
            <w:r w:rsidRPr="00575896">
              <w:t>E</w:t>
            </w:r>
          </w:p>
        </w:tc>
      </w:tr>
      <w:tr w:rsidR="00753A73" w:rsidRPr="00575896" w14:paraId="3C301F4B" w14:textId="77777777" w:rsidTr="000D3728">
        <w:trPr>
          <w:trHeight w:val="490"/>
        </w:trPr>
        <w:tc>
          <w:tcPr>
            <w:tcW w:w="2893" w:type="dxa"/>
          </w:tcPr>
          <w:p w14:paraId="362A0D19" w14:textId="77777777" w:rsidR="00753A73" w:rsidRPr="00575896" w:rsidRDefault="00753A73" w:rsidP="00753A73">
            <w:pPr>
              <w:pStyle w:val="Paragraphedeliste"/>
              <w:numPr>
                <w:ilvl w:val="1"/>
                <w:numId w:val="11"/>
              </w:numPr>
            </w:pPr>
            <w:r w:rsidRPr="00575896">
              <w:t>Identification</w:t>
            </w:r>
          </w:p>
        </w:tc>
        <w:tc>
          <w:tcPr>
            <w:tcW w:w="3481" w:type="dxa"/>
          </w:tcPr>
          <w:p w14:paraId="06453620" w14:textId="5F3598BF" w:rsidR="00753A73" w:rsidRPr="00575896" w:rsidRDefault="00753A73" w:rsidP="00E44BDA">
            <w:pPr>
              <w:jc w:val="both"/>
            </w:pPr>
            <w:r w:rsidRPr="00575896">
              <w:t>Numéro QC</w:t>
            </w:r>
          </w:p>
        </w:tc>
        <w:tc>
          <w:tcPr>
            <w:tcW w:w="1168" w:type="dxa"/>
          </w:tcPr>
          <w:p w14:paraId="283A2C63" w14:textId="77777777" w:rsidR="00753A73" w:rsidRPr="00575896" w:rsidRDefault="00753A73" w:rsidP="000D3728">
            <w:pPr>
              <w:jc w:val="center"/>
            </w:pPr>
            <w:r w:rsidRPr="00575896">
              <w:t>EPQ</w:t>
            </w:r>
          </w:p>
        </w:tc>
        <w:tc>
          <w:tcPr>
            <w:tcW w:w="344" w:type="dxa"/>
          </w:tcPr>
          <w:p w14:paraId="5AC5A5BC" w14:textId="77777777" w:rsidR="00753A73" w:rsidRPr="00575896" w:rsidRDefault="00753A73" w:rsidP="000D3728">
            <w:r w:rsidRPr="00575896">
              <w:t>X</w:t>
            </w:r>
          </w:p>
        </w:tc>
        <w:tc>
          <w:tcPr>
            <w:tcW w:w="336" w:type="dxa"/>
          </w:tcPr>
          <w:p w14:paraId="6B73F9FB" w14:textId="77777777" w:rsidR="00753A73" w:rsidRPr="00575896" w:rsidRDefault="00753A73" w:rsidP="000D3728">
            <w:r w:rsidRPr="00575896">
              <w:t>X</w:t>
            </w:r>
          </w:p>
        </w:tc>
        <w:tc>
          <w:tcPr>
            <w:tcW w:w="334" w:type="dxa"/>
          </w:tcPr>
          <w:p w14:paraId="5B4A0679" w14:textId="77777777" w:rsidR="00753A73" w:rsidRPr="00575896" w:rsidRDefault="00753A73" w:rsidP="000D3728"/>
        </w:tc>
        <w:tc>
          <w:tcPr>
            <w:tcW w:w="352" w:type="dxa"/>
          </w:tcPr>
          <w:p w14:paraId="41E72633" w14:textId="77777777" w:rsidR="00753A73" w:rsidRPr="00575896" w:rsidRDefault="00753A73" w:rsidP="000D3728"/>
        </w:tc>
        <w:tc>
          <w:tcPr>
            <w:tcW w:w="334" w:type="dxa"/>
          </w:tcPr>
          <w:p w14:paraId="5BB14EFD" w14:textId="77777777" w:rsidR="00753A73" w:rsidRPr="00575896" w:rsidRDefault="00753A73" w:rsidP="000D3728"/>
        </w:tc>
      </w:tr>
      <w:tr w:rsidR="00753A73" w:rsidRPr="00575896" w14:paraId="06AD9152" w14:textId="77777777" w:rsidTr="000D3728">
        <w:trPr>
          <w:trHeight w:val="1107"/>
        </w:trPr>
        <w:tc>
          <w:tcPr>
            <w:tcW w:w="2893" w:type="dxa"/>
          </w:tcPr>
          <w:p w14:paraId="1D2D62DB" w14:textId="77777777" w:rsidR="00753A73" w:rsidRPr="00575896" w:rsidRDefault="00753A73" w:rsidP="00753A73">
            <w:pPr>
              <w:pStyle w:val="Paragraphedeliste"/>
              <w:numPr>
                <w:ilvl w:val="1"/>
                <w:numId w:val="11"/>
              </w:numPr>
            </w:pPr>
            <w:r w:rsidRPr="00575896">
              <w:t>Coordonnées du propriétaire des animaux</w:t>
            </w:r>
          </w:p>
        </w:tc>
        <w:tc>
          <w:tcPr>
            <w:tcW w:w="3481" w:type="dxa"/>
          </w:tcPr>
          <w:p w14:paraId="71362088" w14:textId="77777777" w:rsidR="00753A73" w:rsidRPr="00575896" w:rsidRDefault="00753A73" w:rsidP="000D3728">
            <w:pPr>
              <w:spacing w:line="276" w:lineRule="auto"/>
            </w:pPr>
            <w:r w:rsidRPr="00575896">
              <w:t>1.2.1 Nom</w:t>
            </w:r>
          </w:p>
          <w:p w14:paraId="448AEB5B" w14:textId="60F9716D" w:rsidR="00753A73" w:rsidRPr="00575896" w:rsidRDefault="00753A73" w:rsidP="000D3728">
            <w:pPr>
              <w:spacing w:line="276" w:lineRule="auto"/>
            </w:pPr>
            <w:r w:rsidRPr="00575896">
              <w:t xml:space="preserve">1.2.2 </w:t>
            </w:r>
            <w:r w:rsidR="00A0071E" w:rsidRPr="00575896">
              <w:t>N</w:t>
            </w:r>
            <w:r w:rsidRPr="00575896">
              <w:t xml:space="preserve">uméro de téléphone </w:t>
            </w:r>
          </w:p>
          <w:p w14:paraId="2073D5E8" w14:textId="77777777" w:rsidR="00753A73" w:rsidRPr="00575896" w:rsidRDefault="00753A73" w:rsidP="000D3728">
            <w:pPr>
              <w:spacing w:line="276" w:lineRule="auto"/>
            </w:pPr>
            <w:r w:rsidRPr="00575896">
              <w:t>1.2.3 Adresse postale</w:t>
            </w:r>
          </w:p>
        </w:tc>
        <w:tc>
          <w:tcPr>
            <w:tcW w:w="1168" w:type="dxa"/>
          </w:tcPr>
          <w:p w14:paraId="16E1E293" w14:textId="77777777" w:rsidR="00753A73" w:rsidRPr="00575896" w:rsidRDefault="00753A73" w:rsidP="000D3728">
            <w:pPr>
              <w:jc w:val="center"/>
            </w:pPr>
            <w:r w:rsidRPr="00575896">
              <w:t>EPQ</w:t>
            </w:r>
          </w:p>
        </w:tc>
        <w:tc>
          <w:tcPr>
            <w:tcW w:w="344" w:type="dxa"/>
          </w:tcPr>
          <w:p w14:paraId="72BDEB34" w14:textId="77777777" w:rsidR="00753A73" w:rsidRPr="00575896" w:rsidRDefault="00753A73" w:rsidP="000D3728">
            <w:r w:rsidRPr="00575896">
              <w:t>X</w:t>
            </w:r>
          </w:p>
        </w:tc>
        <w:tc>
          <w:tcPr>
            <w:tcW w:w="336" w:type="dxa"/>
          </w:tcPr>
          <w:p w14:paraId="7AF526DE" w14:textId="77777777" w:rsidR="00753A73" w:rsidRPr="00575896" w:rsidRDefault="00753A73" w:rsidP="000D3728">
            <w:r w:rsidRPr="00575896">
              <w:t>X</w:t>
            </w:r>
          </w:p>
        </w:tc>
        <w:tc>
          <w:tcPr>
            <w:tcW w:w="334" w:type="dxa"/>
          </w:tcPr>
          <w:p w14:paraId="29E111F4" w14:textId="77777777" w:rsidR="00753A73" w:rsidRPr="00575896" w:rsidRDefault="00753A73" w:rsidP="000D3728">
            <w:r w:rsidRPr="00575896">
              <w:t>X</w:t>
            </w:r>
          </w:p>
        </w:tc>
        <w:tc>
          <w:tcPr>
            <w:tcW w:w="352" w:type="dxa"/>
          </w:tcPr>
          <w:p w14:paraId="3A7A887F" w14:textId="77777777" w:rsidR="00753A73" w:rsidRPr="00575896" w:rsidRDefault="00753A73" w:rsidP="000D3728"/>
        </w:tc>
        <w:tc>
          <w:tcPr>
            <w:tcW w:w="334" w:type="dxa"/>
          </w:tcPr>
          <w:p w14:paraId="09D33539" w14:textId="77777777" w:rsidR="00753A73" w:rsidRPr="00575896" w:rsidRDefault="00753A73" w:rsidP="000D3728"/>
        </w:tc>
      </w:tr>
      <w:tr w:rsidR="00753A73" w:rsidRPr="00575896" w14:paraId="712D20EC" w14:textId="77777777" w:rsidTr="000D3728">
        <w:tc>
          <w:tcPr>
            <w:tcW w:w="2893" w:type="dxa"/>
          </w:tcPr>
          <w:p w14:paraId="4BACA073" w14:textId="77777777" w:rsidR="00753A73" w:rsidRPr="00575896" w:rsidRDefault="00753A73" w:rsidP="00753A73">
            <w:pPr>
              <w:pStyle w:val="Paragraphedeliste"/>
              <w:numPr>
                <w:ilvl w:val="1"/>
                <w:numId w:val="11"/>
              </w:numPr>
            </w:pPr>
            <w:r w:rsidRPr="00575896">
              <w:t>Coordonnées du propriétaire du lieu ou de l’exploitant du lieu</w:t>
            </w:r>
          </w:p>
        </w:tc>
        <w:tc>
          <w:tcPr>
            <w:tcW w:w="3481" w:type="dxa"/>
          </w:tcPr>
          <w:p w14:paraId="38943551" w14:textId="77777777" w:rsidR="00753A73" w:rsidRPr="00575896" w:rsidRDefault="00753A73" w:rsidP="000D3728">
            <w:pPr>
              <w:spacing w:line="276" w:lineRule="auto"/>
            </w:pPr>
            <w:r w:rsidRPr="00575896">
              <w:t>1.3.1. Nom</w:t>
            </w:r>
          </w:p>
          <w:p w14:paraId="28CE4097" w14:textId="5C8139D0" w:rsidR="00753A73" w:rsidRPr="00575896" w:rsidRDefault="00753A73" w:rsidP="000D3728">
            <w:pPr>
              <w:spacing w:line="276" w:lineRule="auto"/>
            </w:pPr>
            <w:r w:rsidRPr="00575896">
              <w:t>1.3.2. Numéro de téléphone</w:t>
            </w:r>
          </w:p>
          <w:p w14:paraId="0B90A45F" w14:textId="77777777" w:rsidR="00753A73" w:rsidRPr="00575896" w:rsidRDefault="00753A73" w:rsidP="000D3728">
            <w:pPr>
              <w:spacing w:line="276" w:lineRule="auto"/>
            </w:pPr>
            <w:r w:rsidRPr="00575896">
              <w:t>1.3.3. Adresse courriel</w:t>
            </w:r>
          </w:p>
        </w:tc>
        <w:tc>
          <w:tcPr>
            <w:tcW w:w="1168" w:type="dxa"/>
          </w:tcPr>
          <w:p w14:paraId="46FE76E0" w14:textId="77777777" w:rsidR="00753A73" w:rsidRPr="00575896" w:rsidRDefault="00753A73" w:rsidP="000D3728">
            <w:pPr>
              <w:jc w:val="center"/>
            </w:pPr>
            <w:r w:rsidRPr="00575896">
              <w:t>EPQ</w:t>
            </w:r>
          </w:p>
        </w:tc>
        <w:tc>
          <w:tcPr>
            <w:tcW w:w="344" w:type="dxa"/>
          </w:tcPr>
          <w:p w14:paraId="2B234937" w14:textId="77777777" w:rsidR="00753A73" w:rsidRPr="00575896" w:rsidRDefault="00753A73" w:rsidP="000D3728">
            <w:r w:rsidRPr="00575896">
              <w:t>X</w:t>
            </w:r>
          </w:p>
        </w:tc>
        <w:tc>
          <w:tcPr>
            <w:tcW w:w="336" w:type="dxa"/>
          </w:tcPr>
          <w:p w14:paraId="03BC94A8" w14:textId="77777777" w:rsidR="00753A73" w:rsidRPr="00575896" w:rsidRDefault="00753A73" w:rsidP="000D3728">
            <w:r w:rsidRPr="00575896">
              <w:t>X</w:t>
            </w:r>
          </w:p>
        </w:tc>
        <w:tc>
          <w:tcPr>
            <w:tcW w:w="334" w:type="dxa"/>
          </w:tcPr>
          <w:p w14:paraId="749FA40E" w14:textId="77777777" w:rsidR="00753A73" w:rsidRPr="00575896" w:rsidRDefault="00753A73" w:rsidP="000D3728">
            <w:r w:rsidRPr="00575896">
              <w:t>X</w:t>
            </w:r>
          </w:p>
        </w:tc>
        <w:tc>
          <w:tcPr>
            <w:tcW w:w="352" w:type="dxa"/>
          </w:tcPr>
          <w:p w14:paraId="2B65A1AD" w14:textId="77777777" w:rsidR="00753A73" w:rsidRPr="00575896" w:rsidRDefault="00753A73" w:rsidP="000D3728"/>
        </w:tc>
        <w:tc>
          <w:tcPr>
            <w:tcW w:w="334" w:type="dxa"/>
          </w:tcPr>
          <w:p w14:paraId="74F83599" w14:textId="77777777" w:rsidR="00753A73" w:rsidRPr="00575896" w:rsidRDefault="00753A73" w:rsidP="000D3728"/>
        </w:tc>
      </w:tr>
      <w:tr w:rsidR="00753A73" w:rsidRPr="00575896" w14:paraId="3738ABE7" w14:textId="77777777" w:rsidTr="000D3728">
        <w:tc>
          <w:tcPr>
            <w:tcW w:w="2893" w:type="dxa"/>
          </w:tcPr>
          <w:p w14:paraId="6B54DEC4" w14:textId="77777777" w:rsidR="00753A73" w:rsidRPr="00575896" w:rsidRDefault="00753A73" w:rsidP="00753A73">
            <w:pPr>
              <w:pStyle w:val="Paragraphedeliste"/>
              <w:numPr>
                <w:ilvl w:val="1"/>
                <w:numId w:val="11"/>
              </w:numPr>
            </w:pPr>
            <w:r w:rsidRPr="00575896">
              <w:t>Données de géolocalisation</w:t>
            </w:r>
          </w:p>
        </w:tc>
        <w:tc>
          <w:tcPr>
            <w:tcW w:w="3481" w:type="dxa"/>
          </w:tcPr>
          <w:p w14:paraId="31F2E7BC" w14:textId="77777777" w:rsidR="00753A73" w:rsidRPr="00575896" w:rsidRDefault="00753A73" w:rsidP="000D3728">
            <w:pPr>
              <w:spacing w:line="276" w:lineRule="auto"/>
            </w:pPr>
            <w:r w:rsidRPr="00575896">
              <w:t>1.4.1. Adresse du site</w:t>
            </w:r>
          </w:p>
          <w:p w14:paraId="4EB0EBBE" w14:textId="77777777" w:rsidR="00753A73" w:rsidRPr="00575896" w:rsidRDefault="00753A73" w:rsidP="000D3728">
            <w:pPr>
              <w:spacing w:line="276" w:lineRule="auto"/>
            </w:pPr>
            <w:r w:rsidRPr="00575896">
              <w:t>1.4.2. Coordonnées GPS</w:t>
            </w:r>
          </w:p>
          <w:p w14:paraId="7450A6B2" w14:textId="77777777" w:rsidR="00753A73" w:rsidRPr="00575896" w:rsidRDefault="00753A73" w:rsidP="000D3728">
            <w:pPr>
              <w:spacing w:line="276" w:lineRule="auto"/>
            </w:pPr>
            <w:r w:rsidRPr="00575896">
              <w:t>1.4.3. Numéro de bâtiments</w:t>
            </w:r>
          </w:p>
        </w:tc>
        <w:tc>
          <w:tcPr>
            <w:tcW w:w="1168" w:type="dxa"/>
          </w:tcPr>
          <w:p w14:paraId="5517F03A" w14:textId="77777777" w:rsidR="00753A73" w:rsidRPr="00575896" w:rsidRDefault="00753A73" w:rsidP="000D3728">
            <w:pPr>
              <w:jc w:val="center"/>
            </w:pPr>
            <w:r w:rsidRPr="00575896">
              <w:t>EPQ</w:t>
            </w:r>
          </w:p>
        </w:tc>
        <w:tc>
          <w:tcPr>
            <w:tcW w:w="344" w:type="dxa"/>
          </w:tcPr>
          <w:p w14:paraId="1267BAC3" w14:textId="77777777" w:rsidR="00753A73" w:rsidRPr="00575896" w:rsidRDefault="00753A73" w:rsidP="000D3728">
            <w:r w:rsidRPr="00575896">
              <w:t>X</w:t>
            </w:r>
          </w:p>
        </w:tc>
        <w:tc>
          <w:tcPr>
            <w:tcW w:w="336" w:type="dxa"/>
          </w:tcPr>
          <w:p w14:paraId="30748E94" w14:textId="77777777" w:rsidR="00753A73" w:rsidRPr="00575896" w:rsidRDefault="00753A73" w:rsidP="000D3728">
            <w:r w:rsidRPr="00575896">
              <w:t>X</w:t>
            </w:r>
          </w:p>
        </w:tc>
        <w:tc>
          <w:tcPr>
            <w:tcW w:w="334" w:type="dxa"/>
          </w:tcPr>
          <w:p w14:paraId="028E7F0A" w14:textId="77777777" w:rsidR="00753A73" w:rsidRPr="00575896" w:rsidRDefault="00753A73" w:rsidP="000D3728">
            <w:r w:rsidRPr="00575896">
              <w:t>X</w:t>
            </w:r>
          </w:p>
        </w:tc>
        <w:tc>
          <w:tcPr>
            <w:tcW w:w="352" w:type="dxa"/>
          </w:tcPr>
          <w:p w14:paraId="2FAC49BF" w14:textId="77777777" w:rsidR="00753A73" w:rsidRPr="00575896" w:rsidRDefault="00753A73" w:rsidP="000D3728">
            <w:r w:rsidRPr="00575896">
              <w:t>X</w:t>
            </w:r>
          </w:p>
        </w:tc>
        <w:tc>
          <w:tcPr>
            <w:tcW w:w="334" w:type="dxa"/>
          </w:tcPr>
          <w:p w14:paraId="7F95F72E" w14:textId="77777777" w:rsidR="00753A73" w:rsidRPr="00575896" w:rsidRDefault="00753A73" w:rsidP="000D3728">
            <w:r w:rsidRPr="00575896">
              <w:t>X</w:t>
            </w:r>
          </w:p>
        </w:tc>
      </w:tr>
      <w:tr w:rsidR="00753A73" w:rsidRPr="00575896" w14:paraId="0A8EDF95" w14:textId="77777777" w:rsidTr="000D3728">
        <w:tc>
          <w:tcPr>
            <w:tcW w:w="2893" w:type="dxa"/>
          </w:tcPr>
          <w:p w14:paraId="14279111" w14:textId="77777777" w:rsidR="00753A73" w:rsidRPr="00575896" w:rsidRDefault="00753A73" w:rsidP="000D3728">
            <w:pPr>
              <w:pStyle w:val="Paragraphedeliste"/>
              <w:ind w:left="360"/>
            </w:pPr>
            <w:r w:rsidRPr="00575896">
              <w:t>1.5. Type d’animaux</w:t>
            </w:r>
          </w:p>
        </w:tc>
        <w:tc>
          <w:tcPr>
            <w:tcW w:w="3481" w:type="dxa"/>
          </w:tcPr>
          <w:p w14:paraId="4CF4EBFA" w14:textId="1B66B44C" w:rsidR="00753A73" w:rsidRPr="00575896" w:rsidRDefault="00753A73" w:rsidP="00FC6215">
            <w:r w:rsidRPr="00575896">
              <w:t>5 catégories (porcelets, porcs en croissance, futurs reproducteurs, truies et verrats)</w:t>
            </w:r>
          </w:p>
        </w:tc>
        <w:tc>
          <w:tcPr>
            <w:tcW w:w="1168" w:type="dxa"/>
          </w:tcPr>
          <w:p w14:paraId="6B0DB580" w14:textId="77777777" w:rsidR="00753A73" w:rsidRPr="00575896" w:rsidRDefault="00753A73" w:rsidP="000D3728">
            <w:pPr>
              <w:jc w:val="center"/>
            </w:pPr>
            <w:r w:rsidRPr="00575896">
              <w:t>EPQ</w:t>
            </w:r>
          </w:p>
        </w:tc>
        <w:tc>
          <w:tcPr>
            <w:tcW w:w="344" w:type="dxa"/>
          </w:tcPr>
          <w:p w14:paraId="07F8EDFC" w14:textId="77777777" w:rsidR="00753A73" w:rsidRPr="00575896" w:rsidRDefault="00753A73" w:rsidP="000D3728">
            <w:r w:rsidRPr="00575896">
              <w:t>X</w:t>
            </w:r>
          </w:p>
        </w:tc>
        <w:tc>
          <w:tcPr>
            <w:tcW w:w="336" w:type="dxa"/>
          </w:tcPr>
          <w:p w14:paraId="73CE8109" w14:textId="77777777" w:rsidR="00753A73" w:rsidRPr="00575896" w:rsidRDefault="00753A73" w:rsidP="000D3728">
            <w:r w:rsidRPr="00575896">
              <w:t>X</w:t>
            </w:r>
          </w:p>
        </w:tc>
        <w:tc>
          <w:tcPr>
            <w:tcW w:w="334" w:type="dxa"/>
          </w:tcPr>
          <w:p w14:paraId="543921B7" w14:textId="77777777" w:rsidR="00753A73" w:rsidRPr="00575896" w:rsidRDefault="00753A73" w:rsidP="000D3728">
            <w:r w:rsidRPr="00575896">
              <w:t>X</w:t>
            </w:r>
          </w:p>
        </w:tc>
        <w:tc>
          <w:tcPr>
            <w:tcW w:w="352" w:type="dxa"/>
          </w:tcPr>
          <w:p w14:paraId="2ECF559A" w14:textId="77777777" w:rsidR="00753A73" w:rsidRPr="00575896" w:rsidRDefault="00753A73" w:rsidP="000D3728">
            <w:r w:rsidRPr="00575896">
              <w:t>X</w:t>
            </w:r>
          </w:p>
        </w:tc>
        <w:tc>
          <w:tcPr>
            <w:tcW w:w="334" w:type="dxa"/>
          </w:tcPr>
          <w:p w14:paraId="6313D2E7" w14:textId="77777777" w:rsidR="00753A73" w:rsidRPr="00575896" w:rsidRDefault="00753A73" w:rsidP="000D3728">
            <w:r w:rsidRPr="00575896">
              <w:t>X</w:t>
            </w:r>
          </w:p>
        </w:tc>
      </w:tr>
      <w:tr w:rsidR="00753A73" w:rsidRPr="00575896" w14:paraId="360CDCFC" w14:textId="77777777" w:rsidTr="000D3728">
        <w:tc>
          <w:tcPr>
            <w:tcW w:w="2893" w:type="dxa"/>
          </w:tcPr>
          <w:p w14:paraId="26240DAE" w14:textId="77777777" w:rsidR="00753A73" w:rsidRPr="00575896" w:rsidRDefault="00753A73" w:rsidP="000D3728">
            <w:pPr>
              <w:pStyle w:val="Paragraphedeliste"/>
              <w:ind w:left="360"/>
            </w:pPr>
            <w:r w:rsidRPr="00575896">
              <w:t>1.6 Nombre d’animaux</w:t>
            </w:r>
          </w:p>
        </w:tc>
        <w:tc>
          <w:tcPr>
            <w:tcW w:w="3481" w:type="dxa"/>
          </w:tcPr>
          <w:p w14:paraId="502D88AD" w14:textId="77777777" w:rsidR="00753A73" w:rsidRPr="00575896" w:rsidRDefault="00753A73" w:rsidP="00FC6215">
            <w:r w:rsidRPr="00575896">
              <w:t>Fourchettes de taille déjà utilisées par le CDPQ</w:t>
            </w:r>
          </w:p>
        </w:tc>
        <w:tc>
          <w:tcPr>
            <w:tcW w:w="1168" w:type="dxa"/>
          </w:tcPr>
          <w:p w14:paraId="7DE14516" w14:textId="77777777" w:rsidR="00753A73" w:rsidRPr="00575896" w:rsidRDefault="00753A73" w:rsidP="000D3728">
            <w:pPr>
              <w:jc w:val="center"/>
            </w:pPr>
            <w:r w:rsidRPr="00575896">
              <w:t>EPQ</w:t>
            </w:r>
          </w:p>
        </w:tc>
        <w:tc>
          <w:tcPr>
            <w:tcW w:w="344" w:type="dxa"/>
          </w:tcPr>
          <w:p w14:paraId="462460F1" w14:textId="77777777" w:rsidR="00753A73" w:rsidRPr="00575896" w:rsidRDefault="00753A73" w:rsidP="000D3728">
            <w:r w:rsidRPr="00575896">
              <w:t>X</w:t>
            </w:r>
          </w:p>
        </w:tc>
        <w:tc>
          <w:tcPr>
            <w:tcW w:w="336" w:type="dxa"/>
          </w:tcPr>
          <w:p w14:paraId="7CA7D271" w14:textId="77777777" w:rsidR="00753A73" w:rsidRPr="00575896" w:rsidRDefault="00753A73" w:rsidP="000D3728">
            <w:r w:rsidRPr="00575896">
              <w:t>X</w:t>
            </w:r>
          </w:p>
        </w:tc>
        <w:tc>
          <w:tcPr>
            <w:tcW w:w="334" w:type="dxa"/>
          </w:tcPr>
          <w:p w14:paraId="4D413189" w14:textId="77777777" w:rsidR="00753A73" w:rsidRPr="00575896" w:rsidRDefault="00753A73" w:rsidP="000D3728"/>
        </w:tc>
        <w:tc>
          <w:tcPr>
            <w:tcW w:w="352" w:type="dxa"/>
          </w:tcPr>
          <w:p w14:paraId="5916319B" w14:textId="77777777" w:rsidR="00753A73" w:rsidRPr="00575896" w:rsidRDefault="00753A73" w:rsidP="000D3728"/>
        </w:tc>
        <w:tc>
          <w:tcPr>
            <w:tcW w:w="334" w:type="dxa"/>
          </w:tcPr>
          <w:p w14:paraId="4379E32C" w14:textId="77777777" w:rsidR="00753A73" w:rsidRPr="00575896" w:rsidRDefault="00753A73" w:rsidP="000D3728"/>
        </w:tc>
      </w:tr>
      <w:tr w:rsidR="00753A73" w:rsidRPr="00575896" w14:paraId="35521897" w14:textId="77777777" w:rsidTr="000D3728">
        <w:tc>
          <w:tcPr>
            <w:tcW w:w="2893" w:type="dxa"/>
          </w:tcPr>
          <w:p w14:paraId="26868CC2" w14:textId="70C5EAF1" w:rsidR="00753A73" w:rsidRPr="00575896" w:rsidRDefault="00753A73" w:rsidP="000D3728">
            <w:pPr>
              <w:pStyle w:val="Paragraphedeliste"/>
              <w:ind w:left="360"/>
            </w:pPr>
            <w:r w:rsidRPr="00575896">
              <w:t>1.7. Mouvement des animaux *</w:t>
            </w:r>
          </w:p>
        </w:tc>
        <w:tc>
          <w:tcPr>
            <w:tcW w:w="3481" w:type="dxa"/>
          </w:tcPr>
          <w:p w14:paraId="12D2C6D2" w14:textId="123E4BA2" w:rsidR="00753A73" w:rsidRPr="00575896" w:rsidRDefault="00753A73" w:rsidP="000D3728">
            <w:r w:rsidRPr="00575896">
              <w:t>Déclarations de traçabilité</w:t>
            </w:r>
          </w:p>
        </w:tc>
        <w:tc>
          <w:tcPr>
            <w:tcW w:w="1168" w:type="dxa"/>
          </w:tcPr>
          <w:p w14:paraId="3B221FAF" w14:textId="77777777" w:rsidR="00753A73" w:rsidRPr="00575896" w:rsidRDefault="00753A73" w:rsidP="000D3728">
            <w:pPr>
              <w:jc w:val="center"/>
            </w:pPr>
            <w:r w:rsidRPr="00575896">
              <w:t>EPQ</w:t>
            </w:r>
          </w:p>
        </w:tc>
        <w:tc>
          <w:tcPr>
            <w:tcW w:w="344" w:type="dxa"/>
          </w:tcPr>
          <w:p w14:paraId="27265BA9" w14:textId="77777777" w:rsidR="00753A73" w:rsidRPr="00575896" w:rsidRDefault="00753A73" w:rsidP="000D3728">
            <w:r w:rsidRPr="00575896">
              <w:t>X</w:t>
            </w:r>
          </w:p>
        </w:tc>
        <w:tc>
          <w:tcPr>
            <w:tcW w:w="336" w:type="dxa"/>
          </w:tcPr>
          <w:p w14:paraId="05972921" w14:textId="77777777" w:rsidR="00753A73" w:rsidRPr="00575896" w:rsidRDefault="00753A73" w:rsidP="000D3728">
            <w:r w:rsidRPr="00575896">
              <w:t>X</w:t>
            </w:r>
          </w:p>
        </w:tc>
        <w:tc>
          <w:tcPr>
            <w:tcW w:w="334" w:type="dxa"/>
          </w:tcPr>
          <w:p w14:paraId="13119C73" w14:textId="77777777" w:rsidR="00753A73" w:rsidRPr="00575896" w:rsidRDefault="00753A73" w:rsidP="000D3728"/>
        </w:tc>
        <w:tc>
          <w:tcPr>
            <w:tcW w:w="352" w:type="dxa"/>
          </w:tcPr>
          <w:p w14:paraId="25ABA9DE" w14:textId="77777777" w:rsidR="00753A73" w:rsidRPr="00575896" w:rsidRDefault="00753A73" w:rsidP="000D3728"/>
        </w:tc>
        <w:tc>
          <w:tcPr>
            <w:tcW w:w="334" w:type="dxa"/>
          </w:tcPr>
          <w:p w14:paraId="45A06511" w14:textId="77777777" w:rsidR="00753A73" w:rsidRPr="00575896" w:rsidRDefault="00753A73" w:rsidP="000D3728"/>
        </w:tc>
      </w:tr>
      <w:tr w:rsidR="00753A73" w:rsidRPr="00575896" w14:paraId="29F86180" w14:textId="77777777" w:rsidTr="000D3728">
        <w:tc>
          <w:tcPr>
            <w:tcW w:w="2893" w:type="dxa"/>
          </w:tcPr>
          <w:p w14:paraId="29862369" w14:textId="77777777" w:rsidR="00753A73" w:rsidRPr="00575896" w:rsidRDefault="00753A73" w:rsidP="000D3728">
            <w:pPr>
              <w:pStyle w:val="Paragraphedeliste"/>
              <w:ind w:left="360"/>
            </w:pPr>
            <w:r w:rsidRPr="00575896">
              <w:t xml:space="preserve">1.8. Informations sur le lieu </w:t>
            </w:r>
          </w:p>
        </w:tc>
        <w:tc>
          <w:tcPr>
            <w:tcW w:w="3481" w:type="dxa"/>
          </w:tcPr>
          <w:p w14:paraId="1A0942B9" w14:textId="3209D8FA" w:rsidR="00753A73" w:rsidRPr="00212FA4" w:rsidRDefault="00753A73" w:rsidP="000D3728">
            <w:pPr>
              <w:jc w:val="both"/>
            </w:pPr>
            <w:r w:rsidRPr="00212FA4">
              <w:t>1.8.1. Type de lieu (maternité, pouponnière, engraissement et e</w:t>
            </w:r>
            <w:r w:rsidR="00CB032A" w:rsidRPr="00212FA4">
              <w:t>tc</w:t>
            </w:r>
            <w:r w:rsidRPr="00212FA4">
              <w:t xml:space="preserve">.) </w:t>
            </w:r>
          </w:p>
          <w:p w14:paraId="705162EF" w14:textId="77777777" w:rsidR="00753A73" w:rsidRPr="00575896" w:rsidRDefault="00753A73" w:rsidP="000D3728">
            <w:r w:rsidRPr="00575896">
              <w:t xml:space="preserve">1.8.2. Fonctionnement du site (TPTV, rotation) </w:t>
            </w:r>
          </w:p>
          <w:p w14:paraId="7D4D5FB5" w14:textId="77777777" w:rsidR="00753A73" w:rsidRPr="00575896" w:rsidRDefault="00753A73" w:rsidP="000D3728"/>
        </w:tc>
        <w:tc>
          <w:tcPr>
            <w:tcW w:w="1168" w:type="dxa"/>
          </w:tcPr>
          <w:p w14:paraId="1C5DB0BF" w14:textId="77777777" w:rsidR="00753A73" w:rsidRPr="00575896" w:rsidRDefault="00753A73" w:rsidP="000D3728">
            <w:pPr>
              <w:jc w:val="center"/>
            </w:pPr>
            <w:r w:rsidRPr="00575896">
              <w:t>EPQ</w:t>
            </w:r>
          </w:p>
        </w:tc>
        <w:tc>
          <w:tcPr>
            <w:tcW w:w="344" w:type="dxa"/>
          </w:tcPr>
          <w:p w14:paraId="51524AF4" w14:textId="77777777" w:rsidR="00753A73" w:rsidRPr="00575896" w:rsidRDefault="00753A73" w:rsidP="000D3728">
            <w:r w:rsidRPr="00575896">
              <w:t>X</w:t>
            </w:r>
          </w:p>
        </w:tc>
        <w:tc>
          <w:tcPr>
            <w:tcW w:w="336" w:type="dxa"/>
          </w:tcPr>
          <w:p w14:paraId="5D125BFD" w14:textId="77777777" w:rsidR="00753A73" w:rsidRPr="00575896" w:rsidRDefault="00753A73" w:rsidP="000D3728">
            <w:r w:rsidRPr="00575896">
              <w:t>X</w:t>
            </w:r>
          </w:p>
        </w:tc>
        <w:tc>
          <w:tcPr>
            <w:tcW w:w="334" w:type="dxa"/>
          </w:tcPr>
          <w:p w14:paraId="245FE196" w14:textId="77777777" w:rsidR="00753A73" w:rsidRPr="00575896" w:rsidRDefault="00753A73" w:rsidP="000D3728">
            <w:r w:rsidRPr="00575896">
              <w:t>X</w:t>
            </w:r>
          </w:p>
        </w:tc>
        <w:tc>
          <w:tcPr>
            <w:tcW w:w="352" w:type="dxa"/>
          </w:tcPr>
          <w:p w14:paraId="0D5E07D2" w14:textId="77777777" w:rsidR="00753A73" w:rsidRPr="00575896" w:rsidRDefault="00753A73" w:rsidP="000D3728"/>
        </w:tc>
        <w:tc>
          <w:tcPr>
            <w:tcW w:w="334" w:type="dxa"/>
          </w:tcPr>
          <w:p w14:paraId="6B5EABF9" w14:textId="77777777" w:rsidR="00753A73" w:rsidRPr="00575896" w:rsidRDefault="00753A73" w:rsidP="000D3728"/>
        </w:tc>
      </w:tr>
      <w:tr w:rsidR="00753A73" w:rsidRPr="00575896" w14:paraId="59653128" w14:textId="77777777" w:rsidTr="000D3728">
        <w:tc>
          <w:tcPr>
            <w:tcW w:w="2893" w:type="dxa"/>
          </w:tcPr>
          <w:p w14:paraId="38C130A9" w14:textId="77777777" w:rsidR="00753A73" w:rsidRPr="00575896" w:rsidRDefault="00753A73" w:rsidP="000D3728">
            <w:pPr>
              <w:pStyle w:val="Paragraphedeliste"/>
              <w:ind w:left="360"/>
            </w:pPr>
            <w:r w:rsidRPr="00575896">
              <w:t>1.9. Informations sur le vétérinaire</w:t>
            </w:r>
          </w:p>
        </w:tc>
        <w:tc>
          <w:tcPr>
            <w:tcW w:w="3481" w:type="dxa"/>
          </w:tcPr>
          <w:p w14:paraId="66748FF8" w14:textId="68852836" w:rsidR="00753A73" w:rsidRPr="00575896" w:rsidRDefault="00753A73" w:rsidP="000D3728">
            <w:pPr>
              <w:spacing w:line="276" w:lineRule="auto"/>
            </w:pPr>
            <w:r w:rsidRPr="00575896">
              <w:t xml:space="preserve">Nom </w:t>
            </w:r>
          </w:p>
          <w:p w14:paraId="20C40F5D" w14:textId="77777777" w:rsidR="00753A73" w:rsidRPr="00575896" w:rsidRDefault="00753A73" w:rsidP="000D3728">
            <w:pPr>
              <w:spacing w:line="276" w:lineRule="auto"/>
            </w:pPr>
          </w:p>
        </w:tc>
        <w:tc>
          <w:tcPr>
            <w:tcW w:w="1168" w:type="dxa"/>
          </w:tcPr>
          <w:p w14:paraId="1C8E1657" w14:textId="77777777" w:rsidR="00753A73" w:rsidRPr="00575896" w:rsidRDefault="00753A73" w:rsidP="000D3728">
            <w:pPr>
              <w:jc w:val="center"/>
            </w:pPr>
            <w:r w:rsidRPr="00575896">
              <w:t>EPQ</w:t>
            </w:r>
          </w:p>
        </w:tc>
        <w:tc>
          <w:tcPr>
            <w:tcW w:w="344" w:type="dxa"/>
          </w:tcPr>
          <w:p w14:paraId="11FBB9E3" w14:textId="77777777" w:rsidR="00753A73" w:rsidRPr="00575896" w:rsidRDefault="00753A73" w:rsidP="000D3728">
            <w:r w:rsidRPr="00575896">
              <w:t>X</w:t>
            </w:r>
          </w:p>
        </w:tc>
        <w:tc>
          <w:tcPr>
            <w:tcW w:w="336" w:type="dxa"/>
          </w:tcPr>
          <w:p w14:paraId="0116E860" w14:textId="77777777" w:rsidR="00753A73" w:rsidRPr="00575896" w:rsidRDefault="00753A73" w:rsidP="000D3728">
            <w:r w:rsidRPr="00575896">
              <w:t>X</w:t>
            </w:r>
          </w:p>
        </w:tc>
        <w:tc>
          <w:tcPr>
            <w:tcW w:w="334" w:type="dxa"/>
          </w:tcPr>
          <w:p w14:paraId="66DD531C" w14:textId="77777777" w:rsidR="00753A73" w:rsidRPr="00575896" w:rsidRDefault="00753A73" w:rsidP="000D3728">
            <w:r w:rsidRPr="00575896">
              <w:t>X</w:t>
            </w:r>
          </w:p>
        </w:tc>
        <w:tc>
          <w:tcPr>
            <w:tcW w:w="352" w:type="dxa"/>
          </w:tcPr>
          <w:p w14:paraId="53CA47C4" w14:textId="77777777" w:rsidR="00753A73" w:rsidRPr="00575896" w:rsidRDefault="00753A73" w:rsidP="000D3728"/>
        </w:tc>
        <w:tc>
          <w:tcPr>
            <w:tcW w:w="334" w:type="dxa"/>
          </w:tcPr>
          <w:p w14:paraId="12301368" w14:textId="77777777" w:rsidR="00753A73" w:rsidRPr="00575896" w:rsidRDefault="00753A73" w:rsidP="000D3728"/>
        </w:tc>
      </w:tr>
      <w:tr w:rsidR="00753A73" w:rsidRPr="00575896" w14:paraId="146A4B04" w14:textId="77777777" w:rsidTr="000D3728">
        <w:tc>
          <w:tcPr>
            <w:tcW w:w="2893" w:type="dxa"/>
          </w:tcPr>
          <w:p w14:paraId="1A1BA419" w14:textId="77777777" w:rsidR="00753A73" w:rsidRPr="00575896" w:rsidRDefault="00753A73" w:rsidP="000D3728">
            <w:pPr>
              <w:pStyle w:val="Paragraphedeliste"/>
              <w:ind w:left="360"/>
            </w:pPr>
            <w:r w:rsidRPr="00575896">
              <w:t xml:space="preserve">1.10 Statut sanitaire </w:t>
            </w:r>
          </w:p>
        </w:tc>
        <w:tc>
          <w:tcPr>
            <w:tcW w:w="3481" w:type="dxa"/>
          </w:tcPr>
          <w:p w14:paraId="31732162" w14:textId="57648C1D" w:rsidR="00753A73" w:rsidRPr="00575896" w:rsidRDefault="00753A73" w:rsidP="000D3728">
            <w:r w:rsidRPr="00575896">
              <w:t>Statut sanitaire des animaux du site</w:t>
            </w:r>
          </w:p>
        </w:tc>
        <w:tc>
          <w:tcPr>
            <w:tcW w:w="1168" w:type="dxa"/>
          </w:tcPr>
          <w:p w14:paraId="28D47F53" w14:textId="77777777" w:rsidR="00753A73" w:rsidRPr="00575896" w:rsidRDefault="00753A73" w:rsidP="000D3728">
            <w:pPr>
              <w:jc w:val="center"/>
            </w:pPr>
            <w:r w:rsidRPr="00575896">
              <w:t>CDPQ</w:t>
            </w:r>
          </w:p>
        </w:tc>
        <w:tc>
          <w:tcPr>
            <w:tcW w:w="344" w:type="dxa"/>
          </w:tcPr>
          <w:p w14:paraId="7B255B01" w14:textId="77777777" w:rsidR="00753A73" w:rsidRPr="00575896" w:rsidRDefault="00753A73" w:rsidP="000D3728">
            <w:r w:rsidRPr="00575896">
              <w:t>X</w:t>
            </w:r>
          </w:p>
        </w:tc>
        <w:tc>
          <w:tcPr>
            <w:tcW w:w="336" w:type="dxa"/>
          </w:tcPr>
          <w:p w14:paraId="63213CFB" w14:textId="77777777" w:rsidR="00753A73" w:rsidRPr="00575896" w:rsidRDefault="00753A73" w:rsidP="000D3728">
            <w:r w:rsidRPr="00575896">
              <w:t>X</w:t>
            </w:r>
          </w:p>
        </w:tc>
        <w:tc>
          <w:tcPr>
            <w:tcW w:w="334" w:type="dxa"/>
          </w:tcPr>
          <w:p w14:paraId="0D2D60B3" w14:textId="77777777" w:rsidR="00753A73" w:rsidRPr="00575896" w:rsidRDefault="00753A73" w:rsidP="000D3728">
            <w:r w:rsidRPr="00575896">
              <w:t>X</w:t>
            </w:r>
          </w:p>
        </w:tc>
        <w:tc>
          <w:tcPr>
            <w:tcW w:w="352" w:type="dxa"/>
          </w:tcPr>
          <w:p w14:paraId="20E35BA4" w14:textId="77777777" w:rsidR="00753A73" w:rsidRPr="00575896" w:rsidRDefault="00753A73" w:rsidP="000D3728">
            <w:r w:rsidRPr="00575896">
              <w:t>X</w:t>
            </w:r>
          </w:p>
        </w:tc>
        <w:tc>
          <w:tcPr>
            <w:tcW w:w="334" w:type="dxa"/>
          </w:tcPr>
          <w:p w14:paraId="4D3F6749" w14:textId="77777777" w:rsidR="00753A73" w:rsidRPr="00575896" w:rsidRDefault="00753A73" w:rsidP="000D3728">
            <w:r w:rsidRPr="00575896">
              <w:t>X</w:t>
            </w:r>
          </w:p>
        </w:tc>
      </w:tr>
    </w:tbl>
    <w:p w14:paraId="4CCC96B8" w14:textId="6C12AA70" w:rsidR="00753A73" w:rsidRPr="00575896" w:rsidRDefault="00753A73" w:rsidP="00753A73">
      <w:pPr>
        <w:pStyle w:val="Paragraphedeliste"/>
        <w:numPr>
          <w:ilvl w:val="0"/>
          <w:numId w:val="10"/>
        </w:numPr>
      </w:pPr>
      <w:r w:rsidRPr="00575896">
        <w:t>Données partagées avec le CDPQ</w:t>
      </w:r>
    </w:p>
    <w:p w14:paraId="5FBEE882" w14:textId="1D226565" w:rsidR="00753A73" w:rsidRPr="00575896" w:rsidRDefault="00753A73" w:rsidP="00753A73">
      <w:pPr>
        <w:pStyle w:val="Paragraphedeliste"/>
        <w:numPr>
          <w:ilvl w:val="0"/>
          <w:numId w:val="10"/>
        </w:numPr>
      </w:pPr>
      <w:r w:rsidRPr="00575896">
        <w:t>Données partagées avec le LEMP</w:t>
      </w:r>
    </w:p>
    <w:p w14:paraId="39EAB0FF" w14:textId="41BE62AA" w:rsidR="00753A73" w:rsidRPr="00575896" w:rsidRDefault="00753A73" w:rsidP="10BFDC04">
      <w:pPr>
        <w:pStyle w:val="Paragraphedeliste"/>
        <w:numPr>
          <w:ilvl w:val="0"/>
          <w:numId w:val="10"/>
        </w:numPr>
        <w:rPr>
          <w:rFonts w:eastAsia="Arial" w:cs="Arial"/>
        </w:rPr>
      </w:pPr>
      <w:r>
        <w:t xml:space="preserve">Données partagées avec </w:t>
      </w:r>
      <w:r w:rsidR="00406FB9">
        <w:t>chaque</w:t>
      </w:r>
      <w:r w:rsidR="00BA71DC">
        <w:t xml:space="preserve"> </w:t>
      </w:r>
      <w:r>
        <w:t>groupe de contrôle (</w:t>
      </w:r>
      <w:r w:rsidRPr="00DB01D4">
        <w:rPr>
          <w:rFonts w:eastAsia="Arial" w:cs="Arial"/>
        </w:rPr>
        <w:t xml:space="preserve">seulement pour les sites </w:t>
      </w:r>
      <w:r w:rsidR="00B405A1" w:rsidRPr="00DB01D4">
        <w:rPr>
          <w:rFonts w:eastAsia="Arial" w:cs="Arial"/>
        </w:rPr>
        <w:t xml:space="preserve">couverts par le territoire du </w:t>
      </w:r>
      <w:r w:rsidRPr="00DB01D4">
        <w:rPr>
          <w:rFonts w:eastAsia="Arial" w:cs="Arial"/>
        </w:rPr>
        <w:t xml:space="preserve">groupe de contrôle + </w:t>
      </w:r>
      <w:r w:rsidR="00B405A1" w:rsidRPr="00DB01D4">
        <w:rPr>
          <w:rFonts w:eastAsia="Arial" w:cs="Arial"/>
        </w:rPr>
        <w:t xml:space="preserve">ceux qui sont localisés à </w:t>
      </w:r>
      <w:r w:rsidRPr="00DB01D4">
        <w:rPr>
          <w:rFonts w:eastAsia="Arial" w:cs="Arial"/>
        </w:rPr>
        <w:t xml:space="preserve">1 km de la frontière du </w:t>
      </w:r>
      <w:r w:rsidR="00F01DAF" w:rsidRPr="00DB01D4">
        <w:rPr>
          <w:rFonts w:eastAsia="Arial" w:cs="Arial"/>
        </w:rPr>
        <w:t xml:space="preserve">territoire du </w:t>
      </w:r>
      <w:r w:rsidRPr="00DB01D4">
        <w:rPr>
          <w:rFonts w:eastAsia="Arial" w:cs="Arial"/>
        </w:rPr>
        <w:t>groupe de contrôle)</w:t>
      </w:r>
    </w:p>
    <w:p w14:paraId="7B950472" w14:textId="77777777" w:rsidR="00753A73" w:rsidRPr="00575896" w:rsidRDefault="00753A73" w:rsidP="10BFDC04">
      <w:pPr>
        <w:pStyle w:val="Paragraphedeliste"/>
        <w:numPr>
          <w:ilvl w:val="0"/>
          <w:numId w:val="10"/>
        </w:numPr>
        <w:rPr>
          <w:rFonts w:eastAsia="Arial" w:cs="Arial"/>
        </w:rPr>
      </w:pPr>
      <w:r w:rsidRPr="00DB01D4">
        <w:rPr>
          <w:rFonts w:eastAsia="Arial" w:cs="Arial"/>
        </w:rPr>
        <w:t xml:space="preserve">Données partagées avec les éleveurs (seulement pour les sites dans un rayon de 10 km de son site) </w:t>
      </w:r>
    </w:p>
    <w:p w14:paraId="1ED87324" w14:textId="77777777" w:rsidR="00753A73" w:rsidRPr="00575896" w:rsidRDefault="00753A73" w:rsidP="10BFDC04">
      <w:pPr>
        <w:pStyle w:val="Paragraphedeliste"/>
        <w:numPr>
          <w:ilvl w:val="0"/>
          <w:numId w:val="10"/>
        </w:numPr>
        <w:rPr>
          <w:rFonts w:eastAsia="Arial" w:cs="Arial"/>
        </w:rPr>
      </w:pPr>
      <w:r w:rsidRPr="00DB01D4">
        <w:rPr>
          <w:rFonts w:eastAsia="Arial" w:cs="Arial"/>
        </w:rPr>
        <w:t>Données partagées avec les vétérinaires (seulement pour les sites dans un rayon de 10 km des sites de ses clients)</w:t>
      </w:r>
    </w:p>
    <w:p w14:paraId="2E4057F6" w14:textId="3570FF6E" w:rsidR="00B068B3" w:rsidRDefault="6C91A36C" w:rsidP="10BFDC04">
      <w:pPr>
        <w:spacing w:line="256" w:lineRule="auto"/>
        <w:ind w:left="360"/>
        <w:rPr>
          <w:rFonts w:eastAsia="Arial" w:cs="Arial"/>
        </w:rPr>
      </w:pPr>
      <w:r w:rsidRPr="00DB01D4">
        <w:rPr>
          <w:rFonts w:eastAsia="Arial" w:cs="Arial"/>
        </w:rPr>
        <w:t>*dans le but d’automatiser la mise à jour des statuts (non fonctionnel à ce jour)</w:t>
      </w:r>
    </w:p>
    <w:sectPr w:rsidR="00B068B3">
      <w:headerReference w:type="even" r:id="rId13"/>
      <w:headerReference w:type="default" r:id="rId14"/>
      <w:footerReference w:type="even" r:id="rId15"/>
      <w:footerReference w:type="default" r:id="rId16"/>
      <w:headerReference w:type="first" r:id="rId17"/>
      <w:footerReference w:type="first" r:id="rId1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F5F86" w14:textId="77777777" w:rsidR="009248AD" w:rsidRDefault="009248AD" w:rsidP="00EA1845">
      <w:pPr>
        <w:spacing w:after="0" w:line="240" w:lineRule="auto"/>
      </w:pPr>
      <w:r>
        <w:separator/>
      </w:r>
    </w:p>
  </w:endnote>
  <w:endnote w:type="continuationSeparator" w:id="0">
    <w:p w14:paraId="460303E1" w14:textId="77777777" w:rsidR="009248AD" w:rsidRDefault="009248AD" w:rsidP="00EA1845">
      <w:pPr>
        <w:spacing w:after="0" w:line="240" w:lineRule="auto"/>
      </w:pPr>
      <w:r>
        <w:continuationSeparator/>
      </w:r>
    </w:p>
  </w:endnote>
  <w:endnote w:type="continuationNotice" w:id="1">
    <w:p w14:paraId="532DC72E" w14:textId="77777777" w:rsidR="009248AD" w:rsidRDefault="009248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3588C" w14:textId="77777777" w:rsidR="00EA1845" w:rsidRDefault="00EA184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2221E" w14:textId="77777777" w:rsidR="00EA1845" w:rsidRDefault="00EA1845">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CC4FF" w14:textId="77777777" w:rsidR="00EA1845" w:rsidRDefault="00EA184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6D2DA" w14:textId="77777777" w:rsidR="009248AD" w:rsidRDefault="009248AD" w:rsidP="00EA1845">
      <w:pPr>
        <w:spacing w:after="0" w:line="240" w:lineRule="auto"/>
      </w:pPr>
      <w:r>
        <w:separator/>
      </w:r>
    </w:p>
  </w:footnote>
  <w:footnote w:type="continuationSeparator" w:id="0">
    <w:p w14:paraId="660FE7C5" w14:textId="77777777" w:rsidR="009248AD" w:rsidRDefault="009248AD" w:rsidP="00EA1845">
      <w:pPr>
        <w:spacing w:after="0" w:line="240" w:lineRule="auto"/>
      </w:pPr>
      <w:r>
        <w:continuationSeparator/>
      </w:r>
    </w:p>
  </w:footnote>
  <w:footnote w:type="continuationNotice" w:id="1">
    <w:p w14:paraId="7D827F5D" w14:textId="77777777" w:rsidR="009248AD" w:rsidRDefault="009248A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03CA0" w14:textId="77777777" w:rsidR="00EA1845" w:rsidRDefault="00EA184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C7837" w14:textId="77777777" w:rsidR="00EA1845" w:rsidRDefault="00EA1845">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980CF" w14:textId="77777777" w:rsidR="00EA1845" w:rsidRDefault="00EA184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40B2"/>
    <w:multiLevelType w:val="hybridMultilevel"/>
    <w:tmpl w:val="42C60E56"/>
    <w:lvl w:ilvl="0" w:tplc="B51213A0">
      <w:start w:val="7"/>
      <w:numFmt w:val="bullet"/>
      <w:lvlText w:val="-"/>
      <w:lvlJc w:val="left"/>
      <w:pPr>
        <w:ind w:left="720" w:hanging="360"/>
      </w:pPr>
      <w:rPr>
        <w:rFonts w:ascii="Arial" w:eastAsiaTheme="minorHAnsi"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1BB0FFD"/>
    <w:multiLevelType w:val="multilevel"/>
    <w:tmpl w:val="FFD4EC2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 w15:restartNumberingAfterBreak="0">
    <w:nsid w:val="14CE5DB1"/>
    <w:multiLevelType w:val="hybridMultilevel"/>
    <w:tmpl w:val="10B8BC24"/>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3" w15:restartNumberingAfterBreak="0">
    <w:nsid w:val="263757DF"/>
    <w:multiLevelType w:val="multilevel"/>
    <w:tmpl w:val="0C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F4E0DEA"/>
    <w:multiLevelType w:val="hybridMultilevel"/>
    <w:tmpl w:val="BA282292"/>
    <w:lvl w:ilvl="0" w:tplc="7C2884DE">
      <w:start w:val="5"/>
      <w:numFmt w:val="bullet"/>
      <w:lvlText w:val="-"/>
      <w:lvlJc w:val="left"/>
      <w:pPr>
        <w:ind w:left="720" w:hanging="360"/>
      </w:pPr>
      <w:rPr>
        <w:rFonts w:ascii="Arial" w:eastAsiaTheme="minorHAnsi"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3F7B1A58"/>
    <w:multiLevelType w:val="hybridMultilevel"/>
    <w:tmpl w:val="29BC9642"/>
    <w:lvl w:ilvl="0" w:tplc="3322FCF0">
      <w:start w:val="1"/>
      <w:numFmt w:val="upperLetter"/>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start w:val="1"/>
      <w:numFmt w:val="lowerLetter"/>
      <w:lvlText w:val="%5."/>
      <w:lvlJc w:val="left"/>
      <w:pPr>
        <w:ind w:left="3600" w:hanging="360"/>
      </w:pPr>
    </w:lvl>
    <w:lvl w:ilvl="5" w:tplc="0C0C001B">
      <w:start w:val="1"/>
      <w:numFmt w:val="lowerRoman"/>
      <w:lvlText w:val="%6."/>
      <w:lvlJc w:val="right"/>
      <w:pPr>
        <w:ind w:left="4320" w:hanging="180"/>
      </w:pPr>
    </w:lvl>
    <w:lvl w:ilvl="6" w:tplc="0C0C000F">
      <w:start w:val="1"/>
      <w:numFmt w:val="decimal"/>
      <w:lvlText w:val="%7."/>
      <w:lvlJc w:val="left"/>
      <w:pPr>
        <w:ind w:left="5040" w:hanging="360"/>
      </w:pPr>
    </w:lvl>
    <w:lvl w:ilvl="7" w:tplc="0C0C0019">
      <w:start w:val="1"/>
      <w:numFmt w:val="lowerLetter"/>
      <w:lvlText w:val="%8."/>
      <w:lvlJc w:val="left"/>
      <w:pPr>
        <w:ind w:left="5760" w:hanging="360"/>
      </w:pPr>
    </w:lvl>
    <w:lvl w:ilvl="8" w:tplc="0C0C001B">
      <w:start w:val="1"/>
      <w:numFmt w:val="lowerRoman"/>
      <w:lvlText w:val="%9."/>
      <w:lvlJc w:val="right"/>
      <w:pPr>
        <w:ind w:left="6480" w:hanging="180"/>
      </w:pPr>
    </w:lvl>
  </w:abstractNum>
  <w:abstractNum w:abstractNumId="6" w15:restartNumberingAfterBreak="0">
    <w:nsid w:val="401C3C12"/>
    <w:multiLevelType w:val="hybridMultilevel"/>
    <w:tmpl w:val="ADB200A0"/>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61FD7951"/>
    <w:multiLevelType w:val="hybridMultilevel"/>
    <w:tmpl w:val="F4A04EAE"/>
    <w:lvl w:ilvl="0" w:tplc="0C0C0005">
      <w:start w:val="1"/>
      <w:numFmt w:val="bullet"/>
      <w:lvlText w:val=""/>
      <w:lvlJc w:val="left"/>
      <w:pPr>
        <w:ind w:left="1068" w:hanging="360"/>
      </w:pPr>
      <w:rPr>
        <w:rFonts w:ascii="Wingdings" w:hAnsi="Wingdings"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8" w15:restartNumberingAfterBreak="0">
    <w:nsid w:val="72AE5C35"/>
    <w:multiLevelType w:val="hybridMultilevel"/>
    <w:tmpl w:val="2B34AFE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7"/>
  </w:num>
  <w:num w:numId="4">
    <w:abstractNumId w:val="4"/>
  </w:num>
  <w:num w:numId="5">
    <w:abstractNumId w:val="0"/>
  </w:num>
  <w:num w:numId="6">
    <w:abstractNumId w:val="8"/>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DD0"/>
    <w:rsid w:val="0001664D"/>
    <w:rsid w:val="0002539C"/>
    <w:rsid w:val="00030A9F"/>
    <w:rsid w:val="00045D43"/>
    <w:rsid w:val="00045DD6"/>
    <w:rsid w:val="00047757"/>
    <w:rsid w:val="00050D8C"/>
    <w:rsid w:val="00060504"/>
    <w:rsid w:val="0009154E"/>
    <w:rsid w:val="00092AA6"/>
    <w:rsid w:val="00095459"/>
    <w:rsid w:val="000B199C"/>
    <w:rsid w:val="000D0A36"/>
    <w:rsid w:val="000D3728"/>
    <w:rsid w:val="00110FF8"/>
    <w:rsid w:val="0011583A"/>
    <w:rsid w:val="00117C16"/>
    <w:rsid w:val="00126A62"/>
    <w:rsid w:val="0013168E"/>
    <w:rsid w:val="0013577D"/>
    <w:rsid w:val="00153E2D"/>
    <w:rsid w:val="00180BE2"/>
    <w:rsid w:val="001A249E"/>
    <w:rsid w:val="001B2573"/>
    <w:rsid w:val="001B4EAF"/>
    <w:rsid w:val="001B781B"/>
    <w:rsid w:val="001C574E"/>
    <w:rsid w:val="001D0D88"/>
    <w:rsid w:val="001E2858"/>
    <w:rsid w:val="001F0410"/>
    <w:rsid w:val="001F1423"/>
    <w:rsid w:val="0020505D"/>
    <w:rsid w:val="00206767"/>
    <w:rsid w:val="002113D1"/>
    <w:rsid w:val="00212FA4"/>
    <w:rsid w:val="00213FAA"/>
    <w:rsid w:val="0023567E"/>
    <w:rsid w:val="00235FA9"/>
    <w:rsid w:val="002426E1"/>
    <w:rsid w:val="00257AA8"/>
    <w:rsid w:val="0026385B"/>
    <w:rsid w:val="00266029"/>
    <w:rsid w:val="002679E9"/>
    <w:rsid w:val="002821D1"/>
    <w:rsid w:val="00285D1B"/>
    <w:rsid w:val="00296C15"/>
    <w:rsid w:val="002C3653"/>
    <w:rsid w:val="002C4753"/>
    <w:rsid w:val="002D0550"/>
    <w:rsid w:val="002D37A9"/>
    <w:rsid w:val="002F1215"/>
    <w:rsid w:val="002F2AF1"/>
    <w:rsid w:val="002F7211"/>
    <w:rsid w:val="00305D0C"/>
    <w:rsid w:val="003223DD"/>
    <w:rsid w:val="00323A1A"/>
    <w:rsid w:val="003257EA"/>
    <w:rsid w:val="00350689"/>
    <w:rsid w:val="00371D91"/>
    <w:rsid w:val="00373565"/>
    <w:rsid w:val="00380858"/>
    <w:rsid w:val="003820BE"/>
    <w:rsid w:val="003E312F"/>
    <w:rsid w:val="0040312B"/>
    <w:rsid w:val="00406FB9"/>
    <w:rsid w:val="00415DB3"/>
    <w:rsid w:val="00453390"/>
    <w:rsid w:val="00467F76"/>
    <w:rsid w:val="00473258"/>
    <w:rsid w:val="0047401F"/>
    <w:rsid w:val="00481600"/>
    <w:rsid w:val="004B26CB"/>
    <w:rsid w:val="004B7927"/>
    <w:rsid w:val="004D2BB7"/>
    <w:rsid w:val="004E1340"/>
    <w:rsid w:val="004F24C8"/>
    <w:rsid w:val="004F4008"/>
    <w:rsid w:val="00516122"/>
    <w:rsid w:val="00536FC0"/>
    <w:rsid w:val="0056205A"/>
    <w:rsid w:val="00567BAE"/>
    <w:rsid w:val="00570D70"/>
    <w:rsid w:val="00575896"/>
    <w:rsid w:val="00594678"/>
    <w:rsid w:val="005A3C46"/>
    <w:rsid w:val="005F00D8"/>
    <w:rsid w:val="005F2AA2"/>
    <w:rsid w:val="00610E6B"/>
    <w:rsid w:val="006373CE"/>
    <w:rsid w:val="00660F96"/>
    <w:rsid w:val="00662E0A"/>
    <w:rsid w:val="00692B05"/>
    <w:rsid w:val="00694CB2"/>
    <w:rsid w:val="006A6279"/>
    <w:rsid w:val="006B0AD6"/>
    <w:rsid w:val="006B3C58"/>
    <w:rsid w:val="006E1CFE"/>
    <w:rsid w:val="0070095A"/>
    <w:rsid w:val="0071124D"/>
    <w:rsid w:val="0071152C"/>
    <w:rsid w:val="00713757"/>
    <w:rsid w:val="00721175"/>
    <w:rsid w:val="007218A6"/>
    <w:rsid w:val="0073548C"/>
    <w:rsid w:val="0074427E"/>
    <w:rsid w:val="007453FD"/>
    <w:rsid w:val="00751684"/>
    <w:rsid w:val="00753A73"/>
    <w:rsid w:val="0076141E"/>
    <w:rsid w:val="0076537F"/>
    <w:rsid w:val="007804A2"/>
    <w:rsid w:val="00787D5A"/>
    <w:rsid w:val="00793561"/>
    <w:rsid w:val="00794061"/>
    <w:rsid w:val="007D1099"/>
    <w:rsid w:val="007D7A46"/>
    <w:rsid w:val="007E255B"/>
    <w:rsid w:val="00800FBF"/>
    <w:rsid w:val="00805A9F"/>
    <w:rsid w:val="00816597"/>
    <w:rsid w:val="008263E0"/>
    <w:rsid w:val="00832706"/>
    <w:rsid w:val="00837D24"/>
    <w:rsid w:val="00843603"/>
    <w:rsid w:val="00844182"/>
    <w:rsid w:val="00853B62"/>
    <w:rsid w:val="008640D5"/>
    <w:rsid w:val="008811A9"/>
    <w:rsid w:val="00881385"/>
    <w:rsid w:val="00895809"/>
    <w:rsid w:val="008A6198"/>
    <w:rsid w:val="008D1F87"/>
    <w:rsid w:val="008D23C8"/>
    <w:rsid w:val="008D36A2"/>
    <w:rsid w:val="008E2DFF"/>
    <w:rsid w:val="008E3271"/>
    <w:rsid w:val="008F7290"/>
    <w:rsid w:val="00920720"/>
    <w:rsid w:val="00921054"/>
    <w:rsid w:val="009248AD"/>
    <w:rsid w:val="00930C08"/>
    <w:rsid w:val="00944E8D"/>
    <w:rsid w:val="00950619"/>
    <w:rsid w:val="00993408"/>
    <w:rsid w:val="00994C24"/>
    <w:rsid w:val="009A4DEB"/>
    <w:rsid w:val="009B028D"/>
    <w:rsid w:val="009B05B6"/>
    <w:rsid w:val="009B589E"/>
    <w:rsid w:val="009B6645"/>
    <w:rsid w:val="009C44E4"/>
    <w:rsid w:val="009D5BB6"/>
    <w:rsid w:val="009E4965"/>
    <w:rsid w:val="009F60AA"/>
    <w:rsid w:val="00A0071E"/>
    <w:rsid w:val="00A20B5C"/>
    <w:rsid w:val="00A37090"/>
    <w:rsid w:val="00A40D51"/>
    <w:rsid w:val="00A63877"/>
    <w:rsid w:val="00A63E1F"/>
    <w:rsid w:val="00A6467A"/>
    <w:rsid w:val="00A70F14"/>
    <w:rsid w:val="00A7130D"/>
    <w:rsid w:val="00A84A74"/>
    <w:rsid w:val="00A87A7E"/>
    <w:rsid w:val="00A87CFB"/>
    <w:rsid w:val="00A92B9E"/>
    <w:rsid w:val="00AA539B"/>
    <w:rsid w:val="00AA6F12"/>
    <w:rsid w:val="00AB24D7"/>
    <w:rsid w:val="00AC5E6F"/>
    <w:rsid w:val="00AD3A17"/>
    <w:rsid w:val="00AF7D4A"/>
    <w:rsid w:val="00B031EB"/>
    <w:rsid w:val="00B05FC3"/>
    <w:rsid w:val="00B068B3"/>
    <w:rsid w:val="00B10B4E"/>
    <w:rsid w:val="00B13BEA"/>
    <w:rsid w:val="00B16423"/>
    <w:rsid w:val="00B33BEB"/>
    <w:rsid w:val="00B405A1"/>
    <w:rsid w:val="00B559B6"/>
    <w:rsid w:val="00B57E4B"/>
    <w:rsid w:val="00B67F7D"/>
    <w:rsid w:val="00BA6A6A"/>
    <w:rsid w:val="00BA71DC"/>
    <w:rsid w:val="00BB3E38"/>
    <w:rsid w:val="00BC2910"/>
    <w:rsid w:val="00BC7C81"/>
    <w:rsid w:val="00BD09D1"/>
    <w:rsid w:val="00BE780E"/>
    <w:rsid w:val="00C056D1"/>
    <w:rsid w:val="00C50DD0"/>
    <w:rsid w:val="00C63192"/>
    <w:rsid w:val="00C6396E"/>
    <w:rsid w:val="00C65D36"/>
    <w:rsid w:val="00C778F3"/>
    <w:rsid w:val="00C80A3C"/>
    <w:rsid w:val="00C8125E"/>
    <w:rsid w:val="00C829AD"/>
    <w:rsid w:val="00CA4BCF"/>
    <w:rsid w:val="00CA5DED"/>
    <w:rsid w:val="00CB032A"/>
    <w:rsid w:val="00CB344B"/>
    <w:rsid w:val="00CB4236"/>
    <w:rsid w:val="00CC2A41"/>
    <w:rsid w:val="00CD30EE"/>
    <w:rsid w:val="00CD3EB0"/>
    <w:rsid w:val="00CD6866"/>
    <w:rsid w:val="00CE31D6"/>
    <w:rsid w:val="00CE6556"/>
    <w:rsid w:val="00CF11FC"/>
    <w:rsid w:val="00CF2927"/>
    <w:rsid w:val="00D22882"/>
    <w:rsid w:val="00D40258"/>
    <w:rsid w:val="00D47E9D"/>
    <w:rsid w:val="00D50A3A"/>
    <w:rsid w:val="00D55828"/>
    <w:rsid w:val="00D635AC"/>
    <w:rsid w:val="00D63B57"/>
    <w:rsid w:val="00D70B28"/>
    <w:rsid w:val="00D714D8"/>
    <w:rsid w:val="00D92E87"/>
    <w:rsid w:val="00DA520A"/>
    <w:rsid w:val="00DB01D4"/>
    <w:rsid w:val="00DB0E36"/>
    <w:rsid w:val="00DC0922"/>
    <w:rsid w:val="00DD4D27"/>
    <w:rsid w:val="00DD5017"/>
    <w:rsid w:val="00DE4FB4"/>
    <w:rsid w:val="00DF0854"/>
    <w:rsid w:val="00DF2362"/>
    <w:rsid w:val="00DF2F91"/>
    <w:rsid w:val="00DF35F4"/>
    <w:rsid w:val="00E01298"/>
    <w:rsid w:val="00E01DEF"/>
    <w:rsid w:val="00E020DB"/>
    <w:rsid w:val="00E11170"/>
    <w:rsid w:val="00E12138"/>
    <w:rsid w:val="00E14046"/>
    <w:rsid w:val="00E22E4A"/>
    <w:rsid w:val="00E44BDA"/>
    <w:rsid w:val="00E865D0"/>
    <w:rsid w:val="00EA0774"/>
    <w:rsid w:val="00EA11C4"/>
    <w:rsid w:val="00EA1845"/>
    <w:rsid w:val="00EA6E96"/>
    <w:rsid w:val="00EB1583"/>
    <w:rsid w:val="00EB6CC4"/>
    <w:rsid w:val="00EF7D15"/>
    <w:rsid w:val="00F01DAF"/>
    <w:rsid w:val="00F04D1D"/>
    <w:rsid w:val="00F11294"/>
    <w:rsid w:val="00F5450D"/>
    <w:rsid w:val="00F705B5"/>
    <w:rsid w:val="00F8290B"/>
    <w:rsid w:val="00F858A9"/>
    <w:rsid w:val="00F90297"/>
    <w:rsid w:val="00F96797"/>
    <w:rsid w:val="00FB45F5"/>
    <w:rsid w:val="00FC6215"/>
    <w:rsid w:val="00FE5063"/>
    <w:rsid w:val="00FE640E"/>
    <w:rsid w:val="00FE6482"/>
    <w:rsid w:val="00FF0515"/>
    <w:rsid w:val="0A22E35B"/>
    <w:rsid w:val="10BFDC04"/>
    <w:rsid w:val="17822DCF"/>
    <w:rsid w:val="2E9B6620"/>
    <w:rsid w:val="308BD088"/>
    <w:rsid w:val="3D0CFD30"/>
    <w:rsid w:val="6521A4E1"/>
    <w:rsid w:val="6C91A36C"/>
    <w:rsid w:val="6D5FDBE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B2F97"/>
  <w15:chartTrackingRefBased/>
  <w15:docId w15:val="{00221B94-1093-41F4-ABAD-98A669041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E1F"/>
    <w:rPr>
      <w:rFonts w:ascii="Arial" w:hAnsi="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50DD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50DD0"/>
    <w:rPr>
      <w:rFonts w:ascii="Segoe UI" w:hAnsi="Segoe UI" w:cs="Segoe UI"/>
      <w:sz w:val="18"/>
      <w:szCs w:val="18"/>
    </w:rPr>
  </w:style>
  <w:style w:type="paragraph" w:styleId="Paragraphedeliste">
    <w:name w:val="List Paragraph"/>
    <w:basedOn w:val="Normal"/>
    <w:uiPriority w:val="34"/>
    <w:qFormat/>
    <w:rsid w:val="00C50DD0"/>
    <w:pPr>
      <w:ind w:left="720"/>
      <w:contextualSpacing/>
    </w:pPr>
  </w:style>
  <w:style w:type="character" w:styleId="Marquedecommentaire">
    <w:name w:val="annotation reference"/>
    <w:basedOn w:val="Policepardfaut"/>
    <w:uiPriority w:val="99"/>
    <w:semiHidden/>
    <w:unhideWhenUsed/>
    <w:rsid w:val="00FF0515"/>
    <w:rPr>
      <w:sz w:val="16"/>
      <w:szCs w:val="16"/>
    </w:rPr>
  </w:style>
  <w:style w:type="paragraph" w:styleId="Commentaire">
    <w:name w:val="annotation text"/>
    <w:basedOn w:val="Normal"/>
    <w:link w:val="CommentaireCar"/>
    <w:uiPriority w:val="99"/>
    <w:semiHidden/>
    <w:unhideWhenUsed/>
    <w:rsid w:val="00FF0515"/>
    <w:pPr>
      <w:spacing w:line="240" w:lineRule="auto"/>
    </w:pPr>
    <w:rPr>
      <w:sz w:val="20"/>
      <w:szCs w:val="20"/>
    </w:rPr>
  </w:style>
  <w:style w:type="character" w:customStyle="1" w:styleId="CommentaireCar">
    <w:name w:val="Commentaire Car"/>
    <w:basedOn w:val="Policepardfaut"/>
    <w:link w:val="Commentaire"/>
    <w:uiPriority w:val="99"/>
    <w:semiHidden/>
    <w:rsid w:val="00FF0515"/>
    <w:rPr>
      <w:rFonts w:ascii="Arial" w:hAnsi="Arial"/>
      <w:sz w:val="20"/>
      <w:szCs w:val="20"/>
    </w:rPr>
  </w:style>
  <w:style w:type="paragraph" w:styleId="Objetducommentaire">
    <w:name w:val="annotation subject"/>
    <w:basedOn w:val="Commentaire"/>
    <w:next w:val="Commentaire"/>
    <w:link w:val="ObjetducommentaireCar"/>
    <w:uiPriority w:val="99"/>
    <w:semiHidden/>
    <w:unhideWhenUsed/>
    <w:rsid w:val="00FF0515"/>
    <w:rPr>
      <w:b/>
      <w:bCs/>
    </w:rPr>
  </w:style>
  <w:style w:type="character" w:customStyle="1" w:styleId="ObjetducommentaireCar">
    <w:name w:val="Objet du commentaire Car"/>
    <w:basedOn w:val="CommentaireCar"/>
    <w:link w:val="Objetducommentaire"/>
    <w:uiPriority w:val="99"/>
    <w:semiHidden/>
    <w:rsid w:val="00FF0515"/>
    <w:rPr>
      <w:rFonts w:ascii="Arial" w:hAnsi="Arial"/>
      <w:b/>
      <w:bCs/>
      <w:sz w:val="20"/>
      <w:szCs w:val="20"/>
    </w:rPr>
  </w:style>
  <w:style w:type="table" w:styleId="Grilledutableau">
    <w:name w:val="Table Grid"/>
    <w:basedOn w:val="TableauNormal"/>
    <w:uiPriority w:val="39"/>
    <w:rsid w:val="00D2288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EA1845"/>
    <w:pPr>
      <w:tabs>
        <w:tab w:val="center" w:pos="4320"/>
        <w:tab w:val="right" w:pos="8640"/>
      </w:tabs>
      <w:spacing w:after="0" w:line="240" w:lineRule="auto"/>
    </w:pPr>
  </w:style>
  <w:style w:type="character" w:customStyle="1" w:styleId="En-tteCar">
    <w:name w:val="En-tête Car"/>
    <w:basedOn w:val="Policepardfaut"/>
    <w:link w:val="En-tte"/>
    <w:uiPriority w:val="99"/>
    <w:rsid w:val="00EA1845"/>
    <w:rPr>
      <w:rFonts w:ascii="Arial" w:hAnsi="Arial"/>
    </w:rPr>
  </w:style>
  <w:style w:type="paragraph" w:styleId="Pieddepage">
    <w:name w:val="footer"/>
    <w:basedOn w:val="Normal"/>
    <w:link w:val="PieddepageCar"/>
    <w:uiPriority w:val="99"/>
    <w:unhideWhenUsed/>
    <w:rsid w:val="00EA1845"/>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EA1845"/>
    <w:rPr>
      <w:rFonts w:ascii="Arial" w:hAnsi="Arial"/>
    </w:rPr>
  </w:style>
  <w:style w:type="character" w:styleId="Lienhypertexte">
    <w:name w:val="Hyperlink"/>
    <w:basedOn w:val="Policepardfaut"/>
    <w:uiPriority w:val="99"/>
    <w:unhideWhenUsed/>
    <w:rsid w:val="009D5BB6"/>
    <w:rPr>
      <w:color w:val="0563C1" w:themeColor="hyperlink"/>
      <w:u w:val="single"/>
    </w:rPr>
  </w:style>
  <w:style w:type="character" w:styleId="Mentionnonrsolue">
    <w:name w:val="Unresolved Mention"/>
    <w:basedOn w:val="Policepardfaut"/>
    <w:uiPriority w:val="99"/>
    <w:semiHidden/>
    <w:unhideWhenUsed/>
    <w:rsid w:val="009D5B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3206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vsp.quebec"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B96467DED2DAE478958D7EAEC0E0FFA" ma:contentTypeVersion="12" ma:contentTypeDescription="Create a new document." ma:contentTypeScope="" ma:versionID="57186247434ba6220cf5b425df8ba42c">
  <xsd:schema xmlns:xsd="http://www.w3.org/2001/XMLSchema" xmlns:xs="http://www.w3.org/2001/XMLSchema" xmlns:p="http://schemas.microsoft.com/office/2006/metadata/properties" xmlns:ns2="2c0e7f97-3350-4840-84b4-bc2797d71822" xmlns:ns3="e2ec0c2f-1783-4918-a479-d5af68ab8729" targetNamespace="http://schemas.microsoft.com/office/2006/metadata/properties" ma:root="true" ma:fieldsID="861c9737fbc35b940ad37efe9416392f" ns2:_="" ns3:_="">
    <xsd:import namespace="2c0e7f97-3350-4840-84b4-bc2797d71822"/>
    <xsd:import namespace="e2ec0c2f-1783-4918-a479-d5af68ab872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EventHashCode" minOccurs="0"/>
                <xsd:element ref="ns3:MediaServiceGenerationTime" minOccurs="0"/>
                <xsd:element ref="ns2:SharedWithUsers" minOccurs="0"/>
                <xsd:element ref="ns2:SharedWithDetails" minOccurs="0"/>
                <xsd:element ref="ns3:MediaServiceDateTaken" minOccurs="0"/>
                <xsd:element ref="ns3:MediaServiceAutoTags" minOccurs="0"/>
                <xsd:element ref="ns3:MediaServiceOCR"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0e7f97-3350-4840-84b4-bc2797d7182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ec0c2f-1783-4918-a479-d5af68ab872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dlc_DocId xmlns="2c0e7f97-3350-4840-84b4-bc2797d71822">WWR5AMC4D3WQ-278763887-1743</_dlc_DocId>
    <_dlc_DocIdUrl xmlns="2c0e7f97-3350-4840-84b4-bc2797d71822">
      <Url>https://leseleveursdeporcduqc.sharepoint.com/_layouts/15/DocIdRedir.aspx?ID=WWR5AMC4D3WQ-278763887-1743</Url>
      <Description>WWR5AMC4D3WQ-278763887-1743</Description>
    </_dlc_DocIdUrl>
  </documentManagement>
</p:properties>
</file>

<file path=customXml/itemProps1.xml><?xml version="1.0" encoding="utf-8"?>
<ds:datastoreItem xmlns:ds="http://schemas.openxmlformats.org/officeDocument/2006/customXml" ds:itemID="{86CE0B19-C196-4BE4-AB7C-36444A868503}">
  <ds:schemaRefs>
    <ds:schemaRef ds:uri="http://schemas.microsoft.com/sharepoint/events"/>
  </ds:schemaRefs>
</ds:datastoreItem>
</file>

<file path=customXml/itemProps2.xml><?xml version="1.0" encoding="utf-8"?>
<ds:datastoreItem xmlns:ds="http://schemas.openxmlformats.org/officeDocument/2006/customXml" ds:itemID="{E649DD21-479D-41C2-8562-B413FA998811}">
  <ds:schemaRefs>
    <ds:schemaRef ds:uri="http://schemas.microsoft.com/sharepoint/v3/contenttype/forms"/>
  </ds:schemaRefs>
</ds:datastoreItem>
</file>

<file path=customXml/itemProps3.xml><?xml version="1.0" encoding="utf-8"?>
<ds:datastoreItem xmlns:ds="http://schemas.openxmlformats.org/officeDocument/2006/customXml" ds:itemID="{F096C456-12D6-4E8E-A845-E57B356A36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0e7f97-3350-4840-84b4-bc2797d71822"/>
    <ds:schemaRef ds:uri="e2ec0c2f-1783-4918-a479-d5af68ab87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3BE665-8A8E-4F1F-8677-9CC9DC61D21E}">
  <ds:schemaRefs>
    <ds:schemaRef ds:uri="http://schemas.openxmlformats.org/officeDocument/2006/bibliography"/>
  </ds:schemaRefs>
</ds:datastoreItem>
</file>

<file path=customXml/itemProps5.xml><?xml version="1.0" encoding="utf-8"?>
<ds:datastoreItem xmlns:ds="http://schemas.openxmlformats.org/officeDocument/2006/customXml" ds:itemID="{5225A8C4-7184-4BDE-9614-E5793C5EF779}">
  <ds:schemaRefs>
    <ds:schemaRef ds:uri="http://schemas.microsoft.com/office/2006/metadata/properties"/>
    <ds:schemaRef ds:uri="http://schemas.microsoft.com/office/infopath/2007/PartnerControls"/>
    <ds:schemaRef ds:uri="2c0e7f97-3350-4840-84b4-bc2797d71822"/>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1099</Words>
  <Characters>6269</Characters>
  <Application>Microsoft Office Word</Application>
  <DocSecurity>4</DocSecurity>
  <Lines>52</Lines>
  <Paragraphs>14</Paragraphs>
  <ScaleCrop>false</ScaleCrop>
  <Company/>
  <LinksUpToDate>false</LinksUpToDate>
  <CharactersWithSpaces>7354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avocats &amp; conseils</dc:creator>
  <cp:keywords/>
  <dc:description/>
  <cp:lastModifiedBy>Patricia Sorel</cp:lastModifiedBy>
  <cp:revision>2</cp:revision>
  <cp:lastPrinted>2020-09-03T00:40:00Z</cp:lastPrinted>
  <dcterms:created xsi:type="dcterms:W3CDTF">2022-05-10T21:12:00Z</dcterms:created>
  <dcterms:modified xsi:type="dcterms:W3CDTF">2022-05-10T21:12:00Z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EContextId">
    <vt:lpwstr>f114a67a-2a14-428f-984d-4908ce55b84a</vt:lpwstr>
  </property>
  <property fmtid="{D5CDD505-2E9C-101B-9397-08002B2CF9AE}" pid="3" name="ContentTypeId">
    <vt:lpwstr>0x0101004B96467DED2DAE478958D7EAEC0E0FFA</vt:lpwstr>
  </property>
  <property fmtid="{D5CDD505-2E9C-101B-9397-08002B2CF9AE}" pid="4" name="_dlc_DocIdItemGuid">
    <vt:lpwstr>d9150b9c-535c-436a-8ab4-406620c89faa</vt:lpwstr>
  </property>
</Properties>
</file>